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0" w:name="_Hlk57883707"/>
      <w:bookmarkStart w:id="1" w:name="_Hlk57883728"/>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bookmarkEnd w:id="0"/>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（生态影响类）</w:t>
      </w:r>
    </w:p>
    <w:p>
      <w:pPr>
        <w:adjustRightInd w:val="0"/>
        <w:snapToGrid w:val="0"/>
        <w:spacing w:line="288" w:lineRule="auto"/>
        <w:ind w:firstLine="1040"/>
        <w:rPr>
          <w:rFonts w:hint="eastAsia" w:ascii="仿宋_GB2312" w:hAnsi="Times New Roman" w:eastAsia="仿宋_GB2312" w:cs="Times New Roman"/>
          <w:sz w:val="36"/>
          <w:szCs w:val="36"/>
          <w:u w:val="single"/>
        </w:rPr>
      </w:pPr>
    </w:p>
    <w:p>
      <w:pPr>
        <w:adjustRightInd w:val="0"/>
        <w:snapToGrid w:val="0"/>
        <w:spacing w:line="288" w:lineRule="auto"/>
        <w:ind w:firstLine="1040"/>
        <w:rPr>
          <w:rFonts w:hint="eastAsia" w:ascii="仿宋_GB2312" w:hAnsi="Times New Roman" w:eastAsia="仿宋_GB2312" w:cs="Times New Roman"/>
          <w:sz w:val="36"/>
          <w:szCs w:val="36"/>
          <w:u w:val="single"/>
        </w:rPr>
      </w:pPr>
    </w:p>
    <w:p>
      <w:pPr>
        <w:adjustRightInd w:val="0"/>
        <w:snapToGrid w:val="0"/>
        <w:spacing w:line="288" w:lineRule="auto"/>
        <w:ind w:firstLine="1040"/>
        <w:rPr>
          <w:rFonts w:hint="eastAsia" w:ascii="仿宋_GB2312" w:hAnsi="Times New Roman" w:eastAsia="仿宋_GB2312" w:cs="Times New Roman"/>
          <w:sz w:val="36"/>
          <w:szCs w:val="36"/>
          <w:u w:val="single"/>
        </w:rPr>
      </w:pPr>
    </w:p>
    <w:p>
      <w:pPr>
        <w:adjustRightInd w:val="0"/>
        <w:snapToGrid w:val="0"/>
        <w:spacing w:line="288" w:lineRule="auto"/>
        <w:ind w:firstLine="1040"/>
        <w:rPr>
          <w:rFonts w:hint="eastAsia" w:ascii="仿宋_GB2312" w:hAnsi="Times New Roman" w:eastAsia="仿宋_GB2312" w:cs="Times New Roman"/>
          <w:sz w:val="36"/>
          <w:szCs w:val="36"/>
          <w:u w:val="single"/>
        </w:rPr>
      </w:pPr>
    </w:p>
    <w:p>
      <w:pPr>
        <w:adjustRightInd w:val="0"/>
        <w:snapToGrid w:val="0"/>
        <w:spacing w:line="288" w:lineRule="auto"/>
        <w:ind w:firstLine="1040"/>
        <w:rPr>
          <w:rFonts w:hint="eastAsia" w:ascii="仿宋_GB2312" w:hAnsi="Times New Roman" w:eastAsia="仿宋_GB2312" w:cs="Times New Roman"/>
          <w:sz w:val="36"/>
          <w:szCs w:val="36"/>
          <w:u w:val="single"/>
        </w:rPr>
      </w:pPr>
    </w:p>
    <w:p>
      <w:pPr>
        <w:adjustRightInd w:val="0"/>
        <w:snapToGrid w:val="0"/>
        <w:spacing w:line="288" w:lineRule="auto"/>
        <w:ind w:firstLine="1040"/>
        <w:rPr>
          <w:rFonts w:hint="eastAsia" w:ascii="仿宋_GB2312" w:hAnsi="Times New Roman" w:eastAsia="仿宋_GB2312" w:cs="Times New Roman"/>
          <w:sz w:val="36"/>
          <w:szCs w:val="36"/>
          <w:u w:val="single"/>
        </w:rPr>
      </w:pPr>
    </w:p>
    <w:bookmarkEnd w:id="1"/>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国顺新能源渭南市大荔县范家</w:t>
      </w:r>
    </w:p>
    <w:p>
      <w:pPr>
        <w:adjustRightInd w:val="0"/>
        <w:snapToGrid w:val="0"/>
        <w:spacing w:line="288" w:lineRule="auto"/>
        <w:ind w:firstLine="3934" w:firstLineChars="1093"/>
        <w:rPr>
          <w:rFonts w:hint="eastAsia" w:ascii="仿宋_GB2312" w:eastAsia="仿宋_GB2312"/>
          <w:sz w:val="36"/>
          <w:szCs w:val="36"/>
          <w:u w:val="single"/>
        </w:rPr>
      </w:pPr>
      <w:r>
        <w:rPr>
          <w:rFonts w:hint="eastAsia" w:ascii="仿宋_GB2312" w:eastAsia="仿宋_GB2312"/>
          <w:sz w:val="36"/>
          <w:szCs w:val="36"/>
          <w:u w:val="single"/>
        </w:rPr>
        <w:t>两宜分散式风电项目</w:t>
      </w:r>
    </w:p>
    <w:p>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大荔县国顺新能源有限公司</w:t>
      </w:r>
    </w:p>
    <w:p>
      <w:pPr>
        <w:adjustRightInd w:val="0"/>
        <w:snapToGrid w:val="0"/>
        <w:spacing w:line="288" w:lineRule="auto"/>
        <w:ind w:firstLine="1040"/>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二零二一年四月</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3934" w:firstLineChars="1093"/>
        <w:rPr>
          <w:rFonts w:hint="eastAsia" w:ascii="仿宋_GB2312" w:hAnsi="Times New Roman" w:eastAsia="仿宋_GB2312" w:cs="Times New Roman"/>
          <w:sz w:val="36"/>
          <w:szCs w:val="36"/>
          <w:u w:val="single"/>
        </w:rPr>
      </w:pPr>
    </w:p>
    <w:p>
      <w:pPr>
        <w:adjustRightInd w:val="0"/>
        <w:snapToGrid w:val="0"/>
        <w:spacing w:line="288" w:lineRule="auto"/>
        <w:ind w:firstLine="3934" w:firstLineChars="1093"/>
        <w:rPr>
          <w:rFonts w:hint="eastAsia" w:ascii="仿宋_GB2312" w:hAnsi="Times New Roman" w:eastAsia="仿宋_GB2312" w:cs="Times New Roman"/>
          <w:sz w:val="36"/>
          <w:szCs w:val="36"/>
          <w:u w:val="single"/>
        </w:rPr>
      </w:pPr>
    </w:p>
    <w:p>
      <w:pPr>
        <w:adjustRightInd w:val="0"/>
        <w:snapToGrid w:val="0"/>
        <w:spacing w:line="288" w:lineRule="auto"/>
        <w:ind w:firstLine="3934" w:firstLineChars="1093"/>
        <w:rPr>
          <w:rFonts w:hint="eastAsia" w:ascii="仿宋_GB2312" w:hAnsi="Times New Roman" w:eastAsia="仿宋_GB2312" w:cs="Times New Roman"/>
          <w:sz w:val="36"/>
          <w:szCs w:val="36"/>
          <w:u w:val="single"/>
        </w:rPr>
      </w:pPr>
    </w:p>
    <w:p>
      <w:pPr>
        <w:adjustRightInd w:val="0"/>
        <w:snapToGrid w:val="0"/>
        <w:spacing w:line="288" w:lineRule="auto"/>
        <w:ind w:firstLine="3934" w:firstLineChars="1093"/>
        <w:rPr>
          <w:rFonts w:hint="eastAsia" w:ascii="仿宋_GB2312" w:hAnsi="Times New Roman" w:eastAsia="仿宋_GB2312" w:cs="Times New Roman"/>
          <w:sz w:val="36"/>
          <w:szCs w:val="36"/>
          <w:u w:val="single"/>
        </w:rPr>
      </w:pPr>
    </w:p>
    <w:p>
      <w:pPr>
        <w:ind w:left="0" w:leftChars="0" w:firstLine="0" w:firstLineChars="0"/>
        <w:jc w:val="center"/>
        <w:rPr>
          <w:rFonts w:hint="eastAsia" w:ascii="楷体_GB2312" w:eastAsia="楷体_GB2312"/>
          <w:sz w:val="21"/>
          <w:szCs w:val="21"/>
        </w:rPr>
        <w:sectPr>
          <w:pgSz w:w="11906" w:h="16838"/>
          <w:pgMar w:top="1440" w:right="1800" w:bottom="1440" w:left="1800" w:header="851" w:footer="992" w:gutter="0"/>
          <w:cols w:space="425" w:num="1"/>
          <w:docGrid w:type="lines" w:linePitch="312" w:charSpace="0"/>
        </w:sectPr>
      </w:pPr>
      <w:r>
        <w:rPr>
          <w:rFonts w:hint="eastAsia" w:ascii="楷体_GB2312" w:eastAsia="楷体_GB2312"/>
          <w:sz w:val="36"/>
          <w:szCs w:val="36"/>
        </w:rPr>
        <w:t>中华人民共和国生态环境部制</w:t>
      </w: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7"/>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26"/>
        <w:gridCol w:w="2043"/>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建设项目名称</w:t>
            </w:r>
          </w:p>
        </w:tc>
        <w:tc>
          <w:tcPr>
            <w:tcW w:w="6813" w:type="dxa"/>
            <w:gridSpan w:val="4"/>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国顺新能源渭南市大荔县范家两宜分散式风电项目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项目代码</w:t>
            </w:r>
          </w:p>
        </w:tc>
        <w:tc>
          <w:tcPr>
            <w:tcW w:w="6813" w:type="dxa"/>
            <w:gridSpan w:val="4"/>
            <w:noWrap w:val="0"/>
            <w:vAlign w:val="center"/>
          </w:tcPr>
          <w:p>
            <w:pPr>
              <w:adjustRightInd w:val="0"/>
              <w:snapToGrid w:val="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荔发改发【2019】376号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建设单位联系人</w:t>
            </w:r>
          </w:p>
        </w:tc>
        <w:tc>
          <w:tcPr>
            <w:tcW w:w="2043"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简华</w:t>
            </w:r>
          </w:p>
        </w:tc>
        <w:tc>
          <w:tcPr>
            <w:tcW w:w="2228" w:type="dxa"/>
            <w:gridSpan w:val="2"/>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联系方式</w:t>
            </w:r>
          </w:p>
        </w:tc>
        <w:tc>
          <w:tcPr>
            <w:tcW w:w="2542"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13279662888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建设地点</w:t>
            </w:r>
          </w:p>
        </w:tc>
        <w:tc>
          <w:tcPr>
            <w:tcW w:w="6813" w:type="dxa"/>
            <w:gridSpan w:val="4"/>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cs="宋体"/>
                <w:sz w:val="21"/>
                <w:szCs w:val="21"/>
                <w:u w:val="none"/>
                <w:lang w:val="en-US" w:eastAsia="zh-CN"/>
              </w:rPr>
              <w:t>陕西</w:t>
            </w:r>
            <w:r>
              <w:rPr>
                <w:rFonts w:hint="eastAsia" w:ascii="宋体" w:hAnsi="宋体" w:cs="宋体"/>
                <w:sz w:val="21"/>
                <w:szCs w:val="21"/>
                <w:u w:val="none"/>
              </w:rPr>
              <w:t>省</w:t>
            </w:r>
            <w:r>
              <w:rPr>
                <w:rFonts w:hint="eastAsia" w:ascii="宋体" w:hAnsi="宋体" w:cs="宋体"/>
                <w:sz w:val="21"/>
                <w:szCs w:val="21"/>
                <w:u w:val="none"/>
                <w:lang w:val="en-US" w:eastAsia="zh-CN"/>
              </w:rPr>
              <w:t>渭南</w:t>
            </w:r>
            <w:r>
              <w:rPr>
                <w:rFonts w:hint="eastAsia" w:ascii="宋体" w:hAnsi="宋体" w:cs="宋体"/>
                <w:sz w:val="21"/>
                <w:szCs w:val="21"/>
                <w:u w:val="none"/>
              </w:rPr>
              <w:t>市</w:t>
            </w:r>
            <w:r>
              <w:rPr>
                <w:rFonts w:hint="eastAsia" w:ascii="宋体" w:hAnsi="宋体" w:cs="宋体"/>
                <w:sz w:val="21"/>
                <w:szCs w:val="21"/>
                <w:u w:val="none"/>
                <w:lang w:val="en-US" w:eastAsia="zh-CN"/>
              </w:rPr>
              <w:t>大荔</w:t>
            </w:r>
            <w:r>
              <w:rPr>
                <w:rFonts w:hint="eastAsia" w:ascii="宋体" w:hAnsi="宋体" w:cs="宋体"/>
                <w:sz w:val="21"/>
                <w:szCs w:val="21"/>
                <w:u w:val="none"/>
              </w:rPr>
              <w:t>县</w:t>
            </w:r>
            <w:r>
              <w:rPr>
                <w:rFonts w:hint="eastAsia" w:ascii="宋体" w:hAnsi="宋体" w:cs="宋体"/>
                <w:sz w:val="21"/>
                <w:szCs w:val="21"/>
                <w:u w:val="none"/>
                <w:lang w:val="en-US" w:eastAsia="zh-CN"/>
              </w:rPr>
              <w:t>范家镇、两宜镇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地理坐标</w:t>
            </w:r>
          </w:p>
        </w:tc>
        <w:tc>
          <w:tcPr>
            <w:tcW w:w="6813" w:type="dxa"/>
            <w:gridSpan w:val="4"/>
            <w:noWrap w:val="0"/>
            <w:vAlign w:val="center"/>
          </w:tcPr>
          <w:p>
            <w:pPr>
              <w:adjustRightInd w:val="0"/>
              <w:snapToGrid w:val="0"/>
              <w:jc w:val="center"/>
              <w:rPr>
                <w:rFonts w:ascii="宋体" w:hAnsi="宋体" w:cs="宋体"/>
                <w:sz w:val="21"/>
                <w:szCs w:val="21"/>
                <w:highlight w:val="none"/>
              </w:rPr>
            </w:pPr>
            <w:r>
              <w:rPr>
                <w:rFonts w:hint="eastAsia" w:ascii="宋体" w:hAnsi="宋体" w:cs="宋体"/>
                <w:sz w:val="21"/>
                <w:szCs w:val="21"/>
                <w:highlight w:val="none"/>
              </w:rPr>
              <w:t>（</w:t>
            </w:r>
            <w:r>
              <w:rPr>
                <w:rFonts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110</w:t>
            </w:r>
            <w:r>
              <w:rPr>
                <w:rFonts w:ascii="宋体" w:hAnsi="宋体" w:cs="宋体"/>
                <w:sz w:val="21"/>
                <w:szCs w:val="21"/>
                <w:highlight w:val="none"/>
                <w:u w:val="single"/>
              </w:rPr>
              <w:t xml:space="preserve"> </w:t>
            </w:r>
            <w:r>
              <w:rPr>
                <w:rFonts w:hint="eastAsia" w:ascii="宋体" w:hAnsi="宋体" w:cs="宋体"/>
                <w:sz w:val="21"/>
                <w:szCs w:val="21"/>
                <w:highlight w:val="none"/>
              </w:rPr>
              <w:t>度</w:t>
            </w:r>
            <w:r>
              <w:rPr>
                <w:rFonts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09</w:t>
            </w:r>
            <w:r>
              <w:rPr>
                <w:rFonts w:ascii="宋体" w:hAnsi="宋体" w:cs="宋体"/>
                <w:sz w:val="21"/>
                <w:szCs w:val="21"/>
                <w:highlight w:val="none"/>
                <w:u w:val="single"/>
              </w:rPr>
              <w:t xml:space="preserve"> </w:t>
            </w:r>
            <w:r>
              <w:rPr>
                <w:rFonts w:hint="eastAsia" w:ascii="宋体" w:hAnsi="宋体" w:cs="宋体"/>
                <w:sz w:val="21"/>
                <w:szCs w:val="21"/>
                <w:highlight w:val="none"/>
              </w:rPr>
              <w:t>分</w:t>
            </w:r>
            <w:r>
              <w:rPr>
                <w:rFonts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15.48</w:t>
            </w:r>
            <w:r>
              <w:rPr>
                <w:rFonts w:ascii="宋体" w:hAnsi="宋体" w:cs="宋体"/>
                <w:sz w:val="21"/>
                <w:szCs w:val="21"/>
                <w:highlight w:val="none"/>
                <w:u w:val="single"/>
              </w:rPr>
              <w:t xml:space="preserve"> </w:t>
            </w:r>
            <w:r>
              <w:rPr>
                <w:rFonts w:hint="eastAsia" w:ascii="宋体" w:hAnsi="宋体" w:cs="宋体"/>
                <w:sz w:val="21"/>
                <w:szCs w:val="21"/>
                <w:highlight w:val="none"/>
              </w:rPr>
              <w:t>秒，</w:t>
            </w:r>
            <w:r>
              <w:rPr>
                <w:rFonts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34</w:t>
            </w:r>
            <w:r>
              <w:rPr>
                <w:rFonts w:ascii="宋体" w:hAnsi="宋体" w:cs="宋体"/>
                <w:sz w:val="21"/>
                <w:szCs w:val="21"/>
                <w:highlight w:val="none"/>
                <w:u w:val="single"/>
              </w:rPr>
              <w:t xml:space="preserve"> </w:t>
            </w:r>
            <w:r>
              <w:rPr>
                <w:rFonts w:hint="eastAsia" w:ascii="宋体" w:hAnsi="宋体" w:cs="宋体"/>
                <w:sz w:val="21"/>
                <w:szCs w:val="21"/>
                <w:highlight w:val="none"/>
              </w:rPr>
              <w:t>度</w:t>
            </w:r>
            <w:r>
              <w:rPr>
                <w:rFonts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59</w:t>
            </w:r>
            <w:r>
              <w:rPr>
                <w:rFonts w:ascii="宋体" w:hAnsi="宋体" w:cs="宋体"/>
                <w:sz w:val="21"/>
                <w:szCs w:val="21"/>
                <w:highlight w:val="none"/>
                <w:u w:val="single"/>
              </w:rPr>
              <w:t xml:space="preserve"> </w:t>
            </w:r>
            <w:r>
              <w:rPr>
                <w:rFonts w:hint="eastAsia" w:ascii="宋体" w:hAnsi="宋体" w:cs="宋体"/>
                <w:sz w:val="21"/>
                <w:szCs w:val="21"/>
                <w:highlight w:val="none"/>
              </w:rPr>
              <w:t>分</w:t>
            </w:r>
            <w:r>
              <w:rPr>
                <w:rFonts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47.33</w:t>
            </w:r>
            <w:r>
              <w:rPr>
                <w:rFonts w:ascii="宋体" w:hAnsi="宋体" w:cs="宋体"/>
                <w:sz w:val="21"/>
                <w:szCs w:val="21"/>
                <w:highlight w:val="none"/>
                <w:u w:val="single"/>
              </w:rPr>
              <w:t xml:space="preserve"> </w:t>
            </w:r>
            <w:r>
              <w:rPr>
                <w:rFonts w:hint="eastAsia" w:ascii="宋体" w:hAnsi="宋体" w:cs="宋体"/>
                <w:sz w:val="21"/>
                <w:szCs w:val="21"/>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建设项目</w:t>
            </w:r>
          </w:p>
          <w:p>
            <w:pPr>
              <w:adjustRightInd w:val="0"/>
              <w:snapToGrid w:val="0"/>
              <w:jc w:val="center"/>
              <w:rPr>
                <w:rFonts w:ascii="宋体" w:hAnsi="宋体" w:cs="宋体"/>
                <w:sz w:val="21"/>
                <w:szCs w:val="21"/>
              </w:rPr>
            </w:pPr>
            <w:r>
              <w:rPr>
                <w:rFonts w:hint="eastAsia" w:ascii="宋体" w:hAnsi="宋体" w:cs="宋体"/>
                <w:sz w:val="21"/>
                <w:szCs w:val="21"/>
              </w:rPr>
              <w:t>行业类别</w:t>
            </w:r>
          </w:p>
        </w:tc>
        <w:tc>
          <w:tcPr>
            <w:tcW w:w="2043"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风力发电（D4415）</w:t>
            </w:r>
          </w:p>
        </w:tc>
        <w:tc>
          <w:tcPr>
            <w:tcW w:w="2218"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用地（用海）面积（</w:t>
            </w:r>
            <w:r>
              <w:rPr>
                <w:rFonts w:ascii="宋体" w:hAnsi="宋体" w:cs="宋体"/>
                <w:sz w:val="21"/>
                <w:szCs w:val="21"/>
              </w:rPr>
              <w:t>m</w:t>
            </w:r>
            <w:r>
              <w:rPr>
                <w:rFonts w:ascii="宋体" w:hAnsi="宋体" w:cs="宋体"/>
                <w:sz w:val="21"/>
                <w:szCs w:val="21"/>
                <w:vertAlign w:val="superscript"/>
              </w:rPr>
              <w:t>2</w:t>
            </w:r>
            <w:r>
              <w:rPr>
                <w:rFonts w:hint="eastAsia" w:ascii="宋体" w:hAnsi="宋体" w:cs="宋体"/>
                <w:sz w:val="21"/>
                <w:szCs w:val="21"/>
              </w:rPr>
              <w:t>）</w:t>
            </w:r>
            <w:r>
              <w:rPr>
                <w:rFonts w:ascii="宋体" w:hAnsi="宋体" w:cs="宋体"/>
                <w:sz w:val="21"/>
                <w:szCs w:val="21"/>
              </w:rPr>
              <w:t>/</w:t>
            </w:r>
            <w:r>
              <w:rPr>
                <w:rFonts w:hint="eastAsia" w:ascii="宋体" w:hAnsi="宋体" w:cs="宋体"/>
                <w:sz w:val="21"/>
                <w:szCs w:val="21"/>
              </w:rPr>
              <w:t>长度（</w:t>
            </w:r>
            <w:r>
              <w:rPr>
                <w:rFonts w:ascii="宋体" w:hAnsi="宋体" w:cs="宋体"/>
                <w:sz w:val="21"/>
                <w:szCs w:val="21"/>
              </w:rPr>
              <w:t>km</w:t>
            </w:r>
            <w:r>
              <w:rPr>
                <w:rFonts w:hint="eastAsia" w:ascii="宋体" w:hAnsi="宋体" w:cs="宋体"/>
                <w:sz w:val="21"/>
                <w:szCs w:val="21"/>
              </w:rPr>
              <w:t>）</w:t>
            </w:r>
          </w:p>
        </w:tc>
        <w:tc>
          <w:tcPr>
            <w:tcW w:w="2552" w:type="dxa"/>
            <w:gridSpan w:val="2"/>
            <w:noWrap w:val="0"/>
            <w:vAlign w:val="center"/>
          </w:tcPr>
          <w:p>
            <w:pPr>
              <w:adjustRightInd w:val="0"/>
              <w:snapToGrid w:val="0"/>
              <w:jc w:val="center"/>
              <w:rPr>
                <w:rFonts w:ascii="宋体" w:hAnsi="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建设性质</w:t>
            </w:r>
          </w:p>
        </w:tc>
        <w:tc>
          <w:tcPr>
            <w:tcW w:w="2043" w:type="dxa"/>
            <w:noWrap w:val="0"/>
            <w:vAlign w:val="center"/>
          </w:tcPr>
          <w:p>
            <w:pPr>
              <w:adjustRightInd w:val="0"/>
              <w:snapToGrid w:val="0"/>
              <w:jc w:val="left"/>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新建（迁建）</w:t>
            </w:r>
          </w:p>
          <w:p>
            <w:pPr>
              <w:adjustRightInd w:val="0"/>
              <w:snapToGrid w:val="0"/>
              <w:jc w:val="left"/>
              <w:rPr>
                <w:rFonts w:ascii="宋体" w:hAnsi="宋体" w:cs="宋体"/>
                <w:sz w:val="21"/>
                <w:szCs w:val="21"/>
              </w:rPr>
            </w:pPr>
            <w:r>
              <w:rPr>
                <w:rFonts w:hint="eastAsia" w:ascii="宋体" w:hAnsi="宋体" w:cs="宋体"/>
                <w:sz w:val="21"/>
                <w:szCs w:val="21"/>
              </w:rPr>
              <w:t>□改建</w:t>
            </w:r>
          </w:p>
          <w:p>
            <w:pPr>
              <w:adjustRightInd w:val="0"/>
              <w:snapToGrid w:val="0"/>
              <w:jc w:val="left"/>
              <w:rPr>
                <w:rFonts w:ascii="宋体" w:hAnsi="宋体" w:cs="宋体"/>
                <w:sz w:val="21"/>
                <w:szCs w:val="21"/>
              </w:rPr>
            </w:pPr>
            <w:r>
              <w:rPr>
                <w:rFonts w:hint="eastAsia" w:ascii="宋体" w:hAnsi="宋体" w:cs="宋体"/>
                <w:sz w:val="21"/>
                <w:szCs w:val="21"/>
              </w:rPr>
              <w:t>□扩建</w:t>
            </w:r>
          </w:p>
          <w:p>
            <w:pPr>
              <w:adjustRightInd w:val="0"/>
              <w:snapToGrid w:val="0"/>
              <w:jc w:val="left"/>
              <w:rPr>
                <w:rFonts w:ascii="宋体" w:hAnsi="宋体" w:cs="宋体"/>
                <w:sz w:val="21"/>
                <w:szCs w:val="21"/>
              </w:rPr>
            </w:pPr>
            <w:r>
              <w:rPr>
                <w:rFonts w:hint="eastAsia" w:ascii="宋体" w:hAnsi="宋体" w:cs="宋体"/>
                <w:sz w:val="21"/>
                <w:szCs w:val="21"/>
              </w:rPr>
              <w:t>□技术改造</w:t>
            </w:r>
          </w:p>
        </w:tc>
        <w:tc>
          <w:tcPr>
            <w:tcW w:w="2218"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建设项目</w:t>
            </w:r>
          </w:p>
          <w:p>
            <w:pPr>
              <w:adjustRightInd w:val="0"/>
              <w:snapToGrid w:val="0"/>
              <w:jc w:val="center"/>
              <w:rPr>
                <w:rFonts w:ascii="宋体" w:hAnsi="宋体" w:cs="宋体"/>
                <w:sz w:val="21"/>
                <w:szCs w:val="21"/>
              </w:rPr>
            </w:pPr>
            <w:r>
              <w:rPr>
                <w:rFonts w:hint="eastAsia" w:ascii="宋体" w:hAnsi="宋体" w:cs="宋体"/>
                <w:sz w:val="21"/>
                <w:szCs w:val="21"/>
              </w:rPr>
              <w:t>申报情形</w:t>
            </w:r>
          </w:p>
        </w:tc>
        <w:tc>
          <w:tcPr>
            <w:tcW w:w="2552" w:type="dxa"/>
            <w:gridSpan w:val="2"/>
            <w:noWrap w:val="0"/>
            <w:vAlign w:val="center"/>
          </w:tcPr>
          <w:p>
            <w:pPr>
              <w:adjustRightInd w:val="0"/>
              <w:snapToGrid w:val="0"/>
              <w:jc w:val="left"/>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首次申报项目</w:t>
            </w:r>
          </w:p>
          <w:p>
            <w:pPr>
              <w:adjustRightInd w:val="0"/>
              <w:snapToGrid w:val="0"/>
              <w:jc w:val="left"/>
              <w:rPr>
                <w:rFonts w:ascii="宋体" w:hAnsi="宋体" w:cs="宋体"/>
                <w:sz w:val="21"/>
                <w:szCs w:val="21"/>
              </w:rPr>
            </w:pPr>
            <w:r>
              <w:rPr>
                <w:rFonts w:hint="eastAsia" w:ascii="宋体" w:hAnsi="宋体" w:cs="宋体"/>
                <w:sz w:val="21"/>
                <w:szCs w:val="21"/>
              </w:rPr>
              <w:t>□不予批准后再次申报项目</w:t>
            </w:r>
          </w:p>
          <w:p>
            <w:pPr>
              <w:adjustRightInd w:val="0"/>
              <w:snapToGrid w:val="0"/>
              <w:jc w:val="left"/>
              <w:rPr>
                <w:rFonts w:ascii="宋体" w:hAnsi="宋体" w:cs="宋体"/>
                <w:sz w:val="21"/>
                <w:szCs w:val="21"/>
              </w:rPr>
            </w:pPr>
            <w:r>
              <w:rPr>
                <w:rFonts w:hint="eastAsia" w:ascii="宋体" w:hAnsi="宋体" w:cs="宋体"/>
                <w:sz w:val="21"/>
                <w:szCs w:val="21"/>
              </w:rPr>
              <w:t>□超五年重新审核项目</w:t>
            </w:r>
          </w:p>
          <w:p>
            <w:pPr>
              <w:adjustRightInd w:val="0"/>
              <w:snapToGrid w:val="0"/>
              <w:rPr>
                <w:rFonts w:ascii="宋体" w:hAnsi="宋体" w:cs="宋体"/>
                <w:sz w:val="21"/>
                <w:szCs w:val="21"/>
              </w:rPr>
            </w:pPr>
            <w:r>
              <w:rPr>
                <w:rFonts w:hint="eastAsia" w:ascii="宋体" w:hAnsi="宋体" w:cs="宋体"/>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项目审批（核准</w:t>
            </w:r>
            <w:r>
              <w:rPr>
                <w:rFonts w:ascii="宋体" w:hAnsi="宋体" w:cs="宋体"/>
                <w:sz w:val="21"/>
                <w:szCs w:val="21"/>
              </w:rPr>
              <w:t>/</w:t>
            </w:r>
          </w:p>
          <w:p>
            <w:pPr>
              <w:adjustRightInd w:val="0"/>
              <w:snapToGrid w:val="0"/>
              <w:jc w:val="center"/>
              <w:rPr>
                <w:rFonts w:ascii="宋体" w:hAnsi="宋体" w:cs="宋体"/>
                <w:sz w:val="21"/>
                <w:szCs w:val="21"/>
              </w:rPr>
            </w:pPr>
            <w:r>
              <w:rPr>
                <w:rFonts w:hint="eastAsia" w:ascii="宋体" w:hAnsi="宋体" w:cs="宋体"/>
                <w:sz w:val="21"/>
                <w:szCs w:val="21"/>
              </w:rPr>
              <w:t>备案）部门（选填）</w:t>
            </w:r>
          </w:p>
        </w:tc>
        <w:tc>
          <w:tcPr>
            <w:tcW w:w="2043"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大荔县发展和改革局、渭南市行政审批服务局</w:t>
            </w:r>
          </w:p>
        </w:tc>
        <w:tc>
          <w:tcPr>
            <w:tcW w:w="2218" w:type="dxa"/>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项目审批（核准</w:t>
            </w:r>
            <w:r>
              <w:rPr>
                <w:rFonts w:ascii="宋体" w:hAnsi="宋体" w:cs="宋体"/>
                <w:sz w:val="21"/>
                <w:szCs w:val="21"/>
              </w:rPr>
              <w:t>/</w:t>
            </w:r>
          </w:p>
          <w:p>
            <w:pPr>
              <w:adjustRightInd w:val="0"/>
              <w:snapToGrid w:val="0"/>
              <w:jc w:val="center"/>
              <w:rPr>
                <w:rFonts w:ascii="宋体" w:hAnsi="宋体" w:cs="宋体"/>
                <w:sz w:val="21"/>
                <w:szCs w:val="21"/>
              </w:rPr>
            </w:pPr>
            <w:r>
              <w:rPr>
                <w:rFonts w:hint="eastAsia" w:ascii="宋体" w:hAnsi="宋体" w:cs="宋体"/>
                <w:sz w:val="21"/>
                <w:szCs w:val="21"/>
              </w:rPr>
              <w:t>备案）文号（选填）</w:t>
            </w:r>
          </w:p>
        </w:tc>
        <w:tc>
          <w:tcPr>
            <w:tcW w:w="2552" w:type="dxa"/>
            <w:gridSpan w:val="2"/>
            <w:noWrap w:val="0"/>
            <w:vAlign w:val="center"/>
          </w:tcPr>
          <w:p>
            <w:pPr>
              <w:adjustRightInd w:val="0"/>
              <w:snapToGrid w:val="0"/>
              <w:jc w:val="center"/>
              <w:rPr>
                <w:rFonts w:ascii="宋体" w:hAnsi="宋体" w:cs="宋体"/>
                <w:sz w:val="21"/>
                <w:szCs w:val="21"/>
              </w:rPr>
            </w:pPr>
            <w:r>
              <w:rPr>
                <w:rFonts w:hint="eastAsia" w:ascii="宋体" w:hAnsi="宋体" w:cs="宋体"/>
                <w:sz w:val="21"/>
                <w:szCs w:val="21"/>
                <w:lang w:val="en-US" w:eastAsia="zh-CN"/>
              </w:rPr>
              <w:t>荔发改发【2019】376号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总投资（万元）</w:t>
            </w:r>
          </w:p>
        </w:tc>
        <w:tc>
          <w:tcPr>
            <w:tcW w:w="2043" w:type="dxa"/>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24000</w:t>
            </w:r>
          </w:p>
        </w:tc>
        <w:tc>
          <w:tcPr>
            <w:tcW w:w="2218"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环保投资（万元）</w:t>
            </w:r>
          </w:p>
        </w:tc>
        <w:tc>
          <w:tcPr>
            <w:tcW w:w="2552" w:type="dxa"/>
            <w:gridSpan w:val="2"/>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环保投资占比（</w:t>
            </w:r>
            <w:r>
              <w:rPr>
                <w:rFonts w:ascii="宋体" w:hAnsi="宋体" w:cs="宋体"/>
                <w:sz w:val="21"/>
                <w:szCs w:val="21"/>
              </w:rPr>
              <w:t>%</w:t>
            </w:r>
            <w:r>
              <w:rPr>
                <w:rFonts w:hint="eastAsia" w:ascii="宋体" w:hAnsi="宋体" w:cs="宋体"/>
                <w:sz w:val="21"/>
                <w:szCs w:val="21"/>
              </w:rPr>
              <w:t>）</w:t>
            </w:r>
          </w:p>
        </w:tc>
        <w:tc>
          <w:tcPr>
            <w:tcW w:w="2043" w:type="dxa"/>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0.86</w:t>
            </w:r>
          </w:p>
        </w:tc>
        <w:tc>
          <w:tcPr>
            <w:tcW w:w="2218"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施工工期</w:t>
            </w:r>
          </w:p>
        </w:tc>
        <w:tc>
          <w:tcPr>
            <w:tcW w:w="2552" w:type="dxa"/>
            <w:gridSpan w:val="2"/>
            <w:noWrap w:val="0"/>
            <w:vAlign w:val="center"/>
          </w:tcPr>
          <w:p>
            <w:pPr>
              <w:adjustRightInd w:val="0"/>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2021年5月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djustRightInd w:val="0"/>
              <w:snapToGrid w:val="0"/>
              <w:jc w:val="center"/>
              <w:rPr>
                <w:rFonts w:ascii="宋体" w:hAnsi="宋体" w:cs="宋体"/>
                <w:sz w:val="21"/>
                <w:szCs w:val="21"/>
              </w:rPr>
            </w:pPr>
            <w:r>
              <w:rPr>
                <w:rFonts w:hint="eastAsia" w:ascii="宋体" w:hAnsi="宋体" w:cs="宋体"/>
                <w:sz w:val="21"/>
                <w:szCs w:val="21"/>
              </w:rPr>
              <w:t>是否开工建设</w:t>
            </w:r>
          </w:p>
        </w:tc>
        <w:tc>
          <w:tcPr>
            <w:tcW w:w="6813" w:type="dxa"/>
            <w:gridSpan w:val="4"/>
            <w:noWrap w:val="0"/>
            <w:vAlign w:val="center"/>
          </w:tcPr>
          <w:p>
            <w:pPr>
              <w:adjustRightInd w:val="0"/>
              <w:snapToGrid w:val="0"/>
              <w:ind w:firstLine="105"/>
              <w:jc w:val="left"/>
              <w:rPr>
                <w:rFonts w:ascii="宋体" w:hAnsi="宋体" w:cs="宋体"/>
                <w:sz w:val="21"/>
                <w:szCs w:val="21"/>
              </w:rPr>
            </w:pPr>
            <w:r>
              <w:rPr>
                <w:rFonts w:hint="eastAsia" w:ascii="宋体" w:hAnsi="宋体" w:cs="宋体"/>
                <w:sz w:val="21"/>
                <w:szCs w:val="21"/>
              </w:rPr>
              <w:sym w:font="Wingdings 2" w:char="0052"/>
            </w:r>
            <w:r>
              <w:rPr>
                <w:rFonts w:hint="eastAsia" w:ascii="宋体" w:hAnsi="宋体" w:cs="宋体"/>
                <w:sz w:val="21"/>
                <w:szCs w:val="21"/>
              </w:rPr>
              <w:t>否</w:t>
            </w:r>
          </w:p>
          <w:p>
            <w:pPr>
              <w:adjustRightInd w:val="0"/>
              <w:snapToGrid w:val="0"/>
              <w:ind w:firstLine="92"/>
              <w:jc w:val="left"/>
              <w:rPr>
                <w:rFonts w:ascii="宋体" w:hAnsi="宋体" w:cs="宋体"/>
                <w:sz w:val="21"/>
                <w:szCs w:val="21"/>
              </w:rPr>
            </w:pPr>
            <w:r>
              <w:rPr>
                <w:rFonts w:hint="eastAsia" w:ascii="宋体" w:hAnsi="宋体" w:cs="宋体"/>
                <w:sz w:val="21"/>
                <w:szCs w:val="21"/>
              </w:rPr>
              <w:t>□是：</w:t>
            </w:r>
            <w:r>
              <w:rPr>
                <w:rFonts w:ascii="宋体" w:hAnsi="宋体" w:cs="宋体"/>
                <w:sz w:val="21"/>
                <w:szCs w:val="21"/>
                <w:u w:val="single"/>
              </w:rPr>
              <w:t xml:space="preserve"> </w:t>
            </w:r>
            <w:r>
              <w:rPr>
                <w:rFonts w:hint="eastAsia" w:ascii="宋体" w:hAnsi="宋体" w:cs="宋体"/>
                <w:sz w:val="21"/>
                <w:szCs w:val="21"/>
                <w:u w:val="single"/>
              </w:rPr>
              <w:t xml:space="preserve">                     </w:t>
            </w:r>
            <w:r>
              <w:rPr>
                <w:rFonts w:ascii="宋体" w:hAnsi="宋体" w:cs="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 w:val="21"/>
                <w:szCs w:val="21"/>
              </w:rPr>
            </w:pPr>
            <w:r>
              <w:rPr>
                <w:rFonts w:hint="eastAsia" w:ascii="宋体" w:hAnsi="宋体" w:cs="宋体"/>
                <w:kern w:val="0"/>
                <w:sz w:val="21"/>
                <w:szCs w:val="21"/>
              </w:rPr>
              <w:t>专项评价设置情况</w:t>
            </w:r>
          </w:p>
        </w:tc>
        <w:tc>
          <w:tcPr>
            <w:tcW w:w="6813" w:type="dxa"/>
            <w:gridSpan w:val="4"/>
            <w:noWrap w:val="0"/>
            <w:tcMar>
              <w:top w:w="16" w:type="dxa"/>
              <w:left w:w="16" w:type="dxa"/>
              <w:right w:w="16" w:type="dxa"/>
            </w:tcMar>
            <w:vAlign w:val="center"/>
          </w:tcPr>
          <w:p>
            <w:pPr>
              <w:autoSpaceDE w:val="0"/>
              <w:autoSpaceDN w:val="0"/>
              <w:adjustRightInd w:val="0"/>
              <w:snapToGrid w:val="0"/>
              <w:jc w:val="center"/>
              <w:rPr>
                <w:rFonts w:ascii="宋体" w:hAnsi="宋体" w:cs="宋体"/>
                <w:kern w:val="0"/>
                <w:sz w:val="21"/>
                <w:szCs w:val="21"/>
              </w:rPr>
            </w:pPr>
            <w:r>
              <w:rPr>
                <w:rFonts w:hint="eastAsia" w:hAnsi="宋体"/>
                <w:sz w:val="21"/>
                <w:szCs w:val="21"/>
              </w:rPr>
              <w:t>生态环境影响专项评价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 w:val="21"/>
                <w:szCs w:val="21"/>
              </w:rPr>
            </w:pPr>
            <w:r>
              <w:rPr>
                <w:rFonts w:hint="eastAsia" w:ascii="宋体" w:hAnsi="宋体" w:cs="宋体"/>
                <w:sz w:val="21"/>
                <w:szCs w:val="21"/>
              </w:rPr>
              <w:t>规划情况</w:t>
            </w:r>
          </w:p>
        </w:tc>
        <w:tc>
          <w:tcPr>
            <w:tcW w:w="6813" w:type="dxa"/>
            <w:gridSpan w:val="4"/>
            <w:noWrap w:val="0"/>
            <w:tcMar>
              <w:top w:w="16" w:type="dxa"/>
              <w:left w:w="16" w:type="dxa"/>
              <w:right w:w="16" w:type="dxa"/>
            </w:tcMar>
            <w:vAlign w:val="center"/>
          </w:tcPr>
          <w:p>
            <w:pPr>
              <w:autoSpaceDE w:val="0"/>
              <w:autoSpaceDN w:val="0"/>
              <w:adjustRightInd w:val="0"/>
              <w:snapToGrid w:val="0"/>
              <w:jc w:val="center"/>
              <w:rPr>
                <w:rFonts w:ascii="宋体" w:hAnsi="宋体" w:cs="宋体"/>
                <w:kern w:val="0"/>
                <w:sz w:val="21"/>
                <w:szCs w:val="21"/>
              </w:rPr>
            </w:pPr>
            <w:r>
              <w:rPr>
                <w:rFonts w:hint="eastAsia"/>
                <w:kern w:val="0"/>
                <w:sz w:val="21"/>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sz w:val="21"/>
                <w:szCs w:val="21"/>
              </w:rPr>
            </w:pPr>
            <w:r>
              <w:rPr>
                <w:rFonts w:hint="eastAsia" w:ascii="宋体" w:hAnsi="宋体" w:cs="宋体"/>
                <w:sz w:val="21"/>
                <w:szCs w:val="21"/>
              </w:rPr>
              <w:t>规划环境影响</w:t>
            </w:r>
          </w:p>
          <w:p>
            <w:pPr>
              <w:autoSpaceDE w:val="0"/>
              <w:autoSpaceDN w:val="0"/>
              <w:adjustRightInd w:val="0"/>
              <w:snapToGrid w:val="0"/>
              <w:jc w:val="center"/>
              <w:rPr>
                <w:rFonts w:ascii="宋体" w:hAnsi="宋体" w:cs="宋体"/>
                <w:kern w:val="0"/>
                <w:sz w:val="21"/>
                <w:szCs w:val="21"/>
              </w:rPr>
            </w:pPr>
            <w:r>
              <w:rPr>
                <w:rFonts w:hint="eastAsia" w:ascii="宋体" w:hAnsi="宋体" w:cs="宋体"/>
                <w:sz w:val="21"/>
                <w:szCs w:val="21"/>
              </w:rPr>
              <w:t>评价情况</w:t>
            </w:r>
          </w:p>
        </w:tc>
        <w:tc>
          <w:tcPr>
            <w:tcW w:w="6813" w:type="dxa"/>
            <w:gridSpan w:val="4"/>
            <w:noWrap w:val="0"/>
            <w:tcMar>
              <w:top w:w="16" w:type="dxa"/>
              <w:left w:w="16" w:type="dxa"/>
              <w:right w:w="16" w:type="dxa"/>
            </w:tcMar>
            <w:vAlign w:val="center"/>
          </w:tcPr>
          <w:p>
            <w:pPr>
              <w:adjustRightInd w:val="0"/>
              <w:snapToGrid w:val="0"/>
              <w:jc w:val="center"/>
              <w:rPr>
                <w:rFonts w:ascii="宋体" w:hAnsi="宋体" w:cs="宋体"/>
                <w:kern w:val="0"/>
                <w:sz w:val="21"/>
                <w:szCs w:val="21"/>
              </w:rPr>
            </w:pPr>
            <w:r>
              <w:rPr>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 w:val="21"/>
                <w:szCs w:val="21"/>
              </w:rPr>
            </w:pPr>
            <w:r>
              <w:rPr>
                <w:rFonts w:hint="eastAsia" w:ascii="宋体" w:hAnsi="宋体" w:cs="宋体"/>
                <w:kern w:val="0"/>
                <w:sz w:val="21"/>
                <w:szCs w:val="21"/>
              </w:rPr>
              <w:t>规划及</w:t>
            </w:r>
            <w:r>
              <w:rPr>
                <w:rFonts w:hint="eastAsia" w:ascii="宋体" w:hAnsi="宋体" w:cs="宋体"/>
                <w:sz w:val="21"/>
                <w:szCs w:val="21"/>
              </w:rPr>
              <w:t>规划环境影响评价</w:t>
            </w:r>
            <w:r>
              <w:rPr>
                <w:rFonts w:hint="eastAsia" w:ascii="宋体" w:hAnsi="宋体" w:cs="宋体"/>
                <w:kern w:val="0"/>
                <w:sz w:val="21"/>
                <w:szCs w:val="21"/>
              </w:rPr>
              <w:t>符合性分析</w:t>
            </w:r>
          </w:p>
        </w:tc>
        <w:tc>
          <w:tcPr>
            <w:tcW w:w="6813" w:type="dxa"/>
            <w:gridSpan w:val="4"/>
            <w:noWrap w:val="0"/>
            <w:tcMar>
              <w:top w:w="16" w:type="dxa"/>
              <w:left w:w="16" w:type="dxa"/>
              <w:right w:w="16" w:type="dxa"/>
            </w:tcMar>
            <w:vAlign w:val="center"/>
          </w:tcPr>
          <w:p>
            <w:pPr>
              <w:numPr>
                <w:ilvl w:val="0"/>
                <w:numId w:val="0"/>
              </w:numPr>
              <w:adjustRightInd w:val="0"/>
              <w:snapToGrid w:val="0"/>
              <w:spacing w:line="360" w:lineRule="auto"/>
              <w:jc w:val="center"/>
              <w:rPr>
                <w:rFonts w:ascii="宋体" w:hAnsi="宋体" w:cs="宋体"/>
                <w:kern w:val="0"/>
                <w:sz w:val="21"/>
                <w:szCs w:val="21"/>
              </w:rPr>
            </w:pPr>
            <w:bookmarkStart w:id="4" w:name="_GoBack"/>
            <w:bookmarkEnd w:id="4"/>
            <w:r>
              <w:rPr>
                <w:rFonts w:hint="eastAsia" w:cs="Times New Roman"/>
                <w:b w:val="0"/>
                <w:bCs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0" w:hRule="atLeast"/>
        </w:trPr>
        <w:tc>
          <w:tcPr>
            <w:tcW w:w="2226"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 w:val="21"/>
                <w:szCs w:val="21"/>
              </w:rPr>
            </w:pPr>
            <w:bookmarkStart w:id="2" w:name="_Hlk56690880"/>
            <w:r>
              <w:rPr>
                <w:rFonts w:hint="eastAsia" w:ascii="宋体" w:hAnsi="宋体" w:cs="宋体"/>
                <w:kern w:val="0"/>
                <w:sz w:val="21"/>
                <w:szCs w:val="21"/>
              </w:rPr>
              <w:t>其他符合性分析</w:t>
            </w:r>
            <w:bookmarkEnd w:id="2"/>
          </w:p>
        </w:tc>
        <w:tc>
          <w:tcPr>
            <w:tcW w:w="6813" w:type="dxa"/>
            <w:gridSpan w:val="4"/>
            <w:noWrap w:val="0"/>
            <w:tcMar>
              <w:top w:w="16" w:type="dxa"/>
              <w:left w:w="16" w:type="dxa"/>
              <w:right w:w="16" w:type="dxa"/>
            </w:tcMar>
            <w:vAlign w:val="center"/>
          </w:tcPr>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336"/>
              <w:gridCol w:w="881"/>
              <w:gridCol w:w="3"/>
              <w:gridCol w:w="3693"/>
              <w:gridCol w:w="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b/>
                      <w:bCs/>
                      <w:sz w:val="21"/>
                      <w:szCs w:val="21"/>
                    </w:rPr>
                  </w:pPr>
                  <w:r>
                    <w:rPr>
                      <w:rFonts w:hint="default"/>
                      <w:b/>
                      <w:bCs/>
                      <w:sz w:val="21"/>
                      <w:szCs w:val="21"/>
                    </w:rPr>
                    <w:t>序号</w:t>
                  </w:r>
                </w:p>
              </w:tc>
              <w:tc>
                <w:tcPr>
                  <w:tcW w:w="789" w:type="pct"/>
                  <w:vAlign w:val="center"/>
                </w:tcPr>
                <w:p>
                  <w:pPr>
                    <w:jc w:val="center"/>
                    <w:rPr>
                      <w:rFonts w:hint="default"/>
                      <w:b/>
                      <w:bCs/>
                      <w:sz w:val="21"/>
                      <w:szCs w:val="21"/>
                    </w:rPr>
                  </w:pPr>
                  <w:r>
                    <w:rPr>
                      <w:rFonts w:hint="default"/>
                      <w:b/>
                      <w:bCs/>
                      <w:sz w:val="21"/>
                      <w:szCs w:val="21"/>
                    </w:rPr>
                    <w:t>分析判定</w:t>
                  </w:r>
                </w:p>
                <w:p>
                  <w:pPr>
                    <w:jc w:val="center"/>
                    <w:rPr>
                      <w:rFonts w:hint="default"/>
                      <w:b/>
                      <w:bCs/>
                      <w:sz w:val="21"/>
                      <w:szCs w:val="21"/>
                    </w:rPr>
                  </w:pPr>
                  <w:r>
                    <w:rPr>
                      <w:rFonts w:hint="default"/>
                      <w:b/>
                      <w:bCs/>
                      <w:sz w:val="21"/>
                      <w:szCs w:val="21"/>
                    </w:rPr>
                    <w:t>内容</w:t>
                  </w:r>
                </w:p>
              </w:tc>
              <w:tc>
                <w:tcPr>
                  <w:tcW w:w="3586" w:type="pct"/>
                  <w:gridSpan w:val="3"/>
                  <w:vAlign w:val="center"/>
                </w:tcPr>
                <w:p>
                  <w:pPr>
                    <w:jc w:val="center"/>
                    <w:rPr>
                      <w:rFonts w:hint="default"/>
                      <w:b/>
                      <w:bCs/>
                      <w:sz w:val="21"/>
                      <w:szCs w:val="21"/>
                    </w:rPr>
                  </w:pPr>
                  <w:r>
                    <w:rPr>
                      <w:rFonts w:hint="default"/>
                      <w:b/>
                      <w:bCs/>
                      <w:sz w:val="21"/>
                      <w:szCs w:val="21"/>
                    </w:rPr>
                    <w:t>本项目情况</w:t>
                  </w:r>
                </w:p>
              </w:tc>
              <w:tc>
                <w:tcPr>
                  <w:tcW w:w="375" w:type="pct"/>
                  <w:vAlign w:val="center"/>
                </w:tcPr>
                <w:p>
                  <w:pPr>
                    <w:jc w:val="center"/>
                    <w:rPr>
                      <w:rFonts w:hint="default"/>
                      <w:b/>
                      <w:bCs/>
                      <w:sz w:val="21"/>
                      <w:szCs w:val="21"/>
                    </w:rPr>
                  </w:pPr>
                  <w:r>
                    <w:rPr>
                      <w:rFonts w:hint="default"/>
                      <w:b/>
                      <w:bCs/>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blHeader/>
              </w:trPr>
              <w:tc>
                <w:tcPr>
                  <w:tcW w:w="248" w:type="pct"/>
                  <w:vAlign w:val="center"/>
                </w:tcPr>
                <w:p>
                  <w:pPr>
                    <w:jc w:val="center"/>
                    <w:rPr>
                      <w:rFonts w:hint="default"/>
                      <w:sz w:val="21"/>
                      <w:szCs w:val="21"/>
                    </w:rPr>
                  </w:pPr>
                  <w:r>
                    <w:rPr>
                      <w:rFonts w:hint="default"/>
                      <w:sz w:val="21"/>
                      <w:szCs w:val="21"/>
                    </w:rPr>
                    <w:t>1</w:t>
                  </w:r>
                </w:p>
              </w:tc>
              <w:tc>
                <w:tcPr>
                  <w:tcW w:w="789" w:type="pct"/>
                  <w:vAlign w:val="center"/>
                </w:tcPr>
                <w:p>
                  <w:pPr>
                    <w:jc w:val="center"/>
                    <w:rPr>
                      <w:rFonts w:hint="default"/>
                      <w:sz w:val="21"/>
                      <w:szCs w:val="21"/>
                    </w:rPr>
                  </w:pPr>
                  <w:r>
                    <w:rPr>
                      <w:rFonts w:hint="default"/>
                      <w:sz w:val="21"/>
                      <w:szCs w:val="21"/>
                    </w:rPr>
                    <w:t>与产业结构调整指导目录符合性分析</w:t>
                  </w:r>
                </w:p>
              </w:tc>
              <w:tc>
                <w:tcPr>
                  <w:tcW w:w="3586" w:type="pct"/>
                  <w:gridSpan w:val="3"/>
                  <w:vAlign w:val="center"/>
                </w:tcPr>
                <w:p>
                  <w:pPr>
                    <w:ind w:firstLine="420" w:firstLineChars="200"/>
                    <w:jc w:val="left"/>
                    <w:rPr>
                      <w:rFonts w:hint="default"/>
                      <w:sz w:val="21"/>
                      <w:szCs w:val="21"/>
                    </w:rPr>
                  </w:pPr>
                  <w:r>
                    <w:rPr>
                      <w:rFonts w:hint="default"/>
                      <w:sz w:val="21"/>
                      <w:szCs w:val="21"/>
                    </w:rPr>
                    <w:t>根据国家发改委第29号令《产业结构调整指导目录（2019年本）》，本项目为风力发电项目，属于鼓励类（五、新能源2、氢能、风电与光伏发电互补系统技术开发与应用）。另外，本项目已取得《大荔县发展和改革局转发市行政审批服务局关于国顺新能源渭南市大荔县范家两宜分散式风电项目核准的批复》（荔发改发[2019]376号）（见附件2），同意本项目的建设，则本项目的建设符合国家产业政策。</w:t>
                  </w:r>
                </w:p>
                <w:p>
                  <w:pPr>
                    <w:ind w:firstLine="420" w:firstLineChars="200"/>
                    <w:jc w:val="left"/>
                    <w:rPr>
                      <w:rFonts w:hint="default"/>
                      <w:sz w:val="21"/>
                      <w:szCs w:val="21"/>
                    </w:rPr>
                  </w:pPr>
                  <w:r>
                    <w:rPr>
                      <w:rFonts w:hint="default"/>
                      <w:sz w:val="21"/>
                      <w:szCs w:val="21"/>
                    </w:rPr>
                    <w:t>因此，本项目建设符合国家及地方现行的产业政策。</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sz w:val="21"/>
                      <w:szCs w:val="21"/>
                    </w:rPr>
                  </w:pPr>
                  <w:r>
                    <w:rPr>
                      <w:rFonts w:hint="default"/>
                      <w:sz w:val="21"/>
                      <w:szCs w:val="21"/>
                    </w:rPr>
                    <w:t>2</w:t>
                  </w:r>
                </w:p>
              </w:tc>
              <w:tc>
                <w:tcPr>
                  <w:tcW w:w="789" w:type="pct"/>
                  <w:vAlign w:val="center"/>
                </w:tcPr>
                <w:p>
                  <w:pPr>
                    <w:jc w:val="center"/>
                    <w:rPr>
                      <w:rFonts w:hint="default"/>
                      <w:sz w:val="21"/>
                      <w:szCs w:val="21"/>
                    </w:rPr>
                  </w:pPr>
                  <w:r>
                    <w:rPr>
                      <w:rFonts w:hint="default"/>
                      <w:sz w:val="21"/>
                      <w:szCs w:val="21"/>
                    </w:rPr>
                    <w:t>与《可再生能源产业发展指导目录》</w:t>
                  </w:r>
                </w:p>
                <w:p>
                  <w:pPr>
                    <w:jc w:val="center"/>
                    <w:rPr>
                      <w:rFonts w:hint="default"/>
                      <w:sz w:val="21"/>
                      <w:szCs w:val="21"/>
                    </w:rPr>
                  </w:pPr>
                  <w:r>
                    <w:rPr>
                      <w:rFonts w:hint="default"/>
                      <w:sz w:val="21"/>
                      <w:szCs w:val="21"/>
                    </w:rPr>
                    <w:t>的符合性分</w:t>
                  </w:r>
                </w:p>
                <w:p>
                  <w:pPr>
                    <w:jc w:val="center"/>
                    <w:rPr>
                      <w:rFonts w:hint="default"/>
                      <w:sz w:val="21"/>
                      <w:szCs w:val="21"/>
                    </w:rPr>
                  </w:pPr>
                  <w:r>
                    <w:rPr>
                      <w:rFonts w:hint="default"/>
                      <w:sz w:val="21"/>
                      <w:szCs w:val="21"/>
                    </w:rPr>
                    <w:t>析</w:t>
                  </w:r>
                </w:p>
              </w:tc>
              <w:tc>
                <w:tcPr>
                  <w:tcW w:w="3586" w:type="pct"/>
                  <w:gridSpan w:val="3"/>
                  <w:vAlign w:val="center"/>
                </w:tcPr>
                <w:p>
                  <w:pPr>
                    <w:ind w:firstLine="420" w:firstLineChars="200"/>
                    <w:jc w:val="left"/>
                    <w:rPr>
                      <w:rFonts w:hint="default"/>
                      <w:sz w:val="21"/>
                      <w:szCs w:val="21"/>
                    </w:rPr>
                  </w:pPr>
                  <w:r>
                    <w:rPr>
                      <w:rFonts w:hint="default"/>
                      <w:sz w:val="21"/>
                      <w:szCs w:val="21"/>
                    </w:rPr>
                    <w:t>根据国家发展和改革委员会关于印发《可再生能源产业发展指导目录》的通知（发改能源[2005]2517 号），“风能及风力发电”作为《可再生能源产业发展指导目录》的首位。该项目属该指导目录中“风力发电”项目。</w:t>
                  </w:r>
                </w:p>
                <w:p>
                  <w:pPr>
                    <w:ind w:firstLine="420" w:firstLineChars="200"/>
                    <w:jc w:val="left"/>
                    <w:rPr>
                      <w:rFonts w:hint="default"/>
                      <w:sz w:val="21"/>
                      <w:szCs w:val="21"/>
                    </w:rPr>
                  </w:pPr>
                  <w:r>
                    <w:rPr>
                      <w:rFonts w:hint="default"/>
                      <w:sz w:val="21"/>
                      <w:szCs w:val="21"/>
                    </w:rPr>
                    <w:t>同时，该项目属于国家发展和改革委员会发布的（发改能源[2016]2619号）《可再生能源发展“十三五”规划》中全面协调推进风电开发项目，该项目符合《可再生能源发展“十三五”规划》内容。</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sz w:val="21"/>
                      <w:szCs w:val="21"/>
                    </w:rPr>
                  </w:pPr>
                  <w:r>
                    <w:rPr>
                      <w:rFonts w:hint="default"/>
                      <w:sz w:val="21"/>
                      <w:szCs w:val="21"/>
                    </w:rPr>
                    <w:t>3</w:t>
                  </w:r>
                </w:p>
              </w:tc>
              <w:tc>
                <w:tcPr>
                  <w:tcW w:w="789" w:type="pct"/>
                  <w:vAlign w:val="center"/>
                </w:tcPr>
                <w:p>
                  <w:pPr>
                    <w:jc w:val="center"/>
                    <w:rPr>
                      <w:rFonts w:hint="default"/>
                      <w:sz w:val="21"/>
                      <w:szCs w:val="21"/>
                    </w:rPr>
                  </w:pPr>
                  <w:r>
                    <w:rPr>
                      <w:rFonts w:hint="default"/>
                      <w:sz w:val="21"/>
                      <w:szCs w:val="21"/>
                    </w:rPr>
                    <w:t>与《风电场工程建设用地和环境保护管理暂行办法》符合性分析</w:t>
                  </w:r>
                </w:p>
              </w:tc>
              <w:tc>
                <w:tcPr>
                  <w:tcW w:w="3586" w:type="pct"/>
                  <w:gridSpan w:val="3"/>
                  <w:vAlign w:val="center"/>
                </w:tcPr>
                <w:p>
                  <w:pPr>
                    <w:ind w:firstLine="420" w:firstLineChars="200"/>
                    <w:jc w:val="left"/>
                    <w:rPr>
                      <w:rFonts w:hint="default"/>
                      <w:sz w:val="21"/>
                      <w:szCs w:val="21"/>
                    </w:rPr>
                  </w:pPr>
                  <w:r>
                    <w:rPr>
                      <w:rFonts w:hint="default"/>
                      <w:sz w:val="21"/>
                      <w:szCs w:val="21"/>
                    </w:rPr>
                    <w:t>根据《风电场工程建设用地和环境保护管理暂行办法》，风电场工程建设用地应本着节约和集约利用土地的原则，尽量使用未利用土地，少占或不占耕地，并避开省级以上政府部门依法批准的需要特殊保护的区域。本项目永久占地不涉及特殊保护区域，对于项目临时占地中占用的耕地，环评提出临时占地使用完成后，按照土地复垦方案及时进行土地复垦，恢复土壤原种植状态，及时进行耕种。因此，项目占地基本符合《风电场工程建设用地和环境保护管理暂行办法》要求。</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248" w:type="pct"/>
                  <w:vAlign w:val="center"/>
                </w:tcPr>
                <w:p>
                  <w:pPr>
                    <w:jc w:val="center"/>
                    <w:rPr>
                      <w:rFonts w:hint="default"/>
                      <w:sz w:val="21"/>
                      <w:szCs w:val="21"/>
                    </w:rPr>
                  </w:pPr>
                  <w:r>
                    <w:rPr>
                      <w:rFonts w:hint="default"/>
                      <w:sz w:val="21"/>
                      <w:szCs w:val="21"/>
                    </w:rPr>
                    <w:t>4</w:t>
                  </w:r>
                </w:p>
              </w:tc>
              <w:tc>
                <w:tcPr>
                  <w:tcW w:w="789" w:type="pct"/>
                  <w:vAlign w:val="center"/>
                </w:tcPr>
                <w:p>
                  <w:pPr>
                    <w:jc w:val="center"/>
                    <w:rPr>
                      <w:rFonts w:hint="default"/>
                      <w:sz w:val="21"/>
                      <w:szCs w:val="21"/>
                    </w:rPr>
                  </w:pPr>
                  <w:r>
                    <w:rPr>
                      <w:rFonts w:hint="default"/>
                      <w:sz w:val="21"/>
                      <w:szCs w:val="21"/>
                    </w:rPr>
                    <w:t>与《陕西省国民经济和社会发展“十三五”规划纲要》符合性分析</w:t>
                  </w:r>
                </w:p>
              </w:tc>
              <w:tc>
                <w:tcPr>
                  <w:tcW w:w="3586" w:type="pct"/>
                  <w:gridSpan w:val="3"/>
                  <w:vAlign w:val="center"/>
                </w:tcPr>
                <w:p>
                  <w:pPr>
                    <w:ind w:firstLine="420" w:firstLineChars="200"/>
                    <w:jc w:val="left"/>
                    <w:rPr>
                      <w:rFonts w:hint="default"/>
                      <w:sz w:val="21"/>
                      <w:szCs w:val="21"/>
                    </w:rPr>
                  </w:pPr>
                  <w:r>
                    <w:rPr>
                      <w:rFonts w:hint="default"/>
                      <w:sz w:val="21"/>
                      <w:szCs w:val="21"/>
                    </w:rPr>
                    <w:t>根据《陕西省国民经济和社会发展“十三五”规划纲要》第十一章壮大特色优势产业的第一节“推动能源化工产业高端化发展”中指出：打造新能源增长点。水风光并举、分散式与集中式并重，稳妥推进新能源微电网、氢燃料动力电池等新技术示范，降低开发成本，力促快速产业化。新能源发电装机达到2020万千瓦。</w:t>
                  </w:r>
                </w:p>
                <w:p>
                  <w:pPr>
                    <w:ind w:firstLine="420" w:firstLineChars="200"/>
                    <w:jc w:val="left"/>
                    <w:rPr>
                      <w:rFonts w:hint="default"/>
                      <w:sz w:val="21"/>
                      <w:szCs w:val="21"/>
                    </w:rPr>
                  </w:pPr>
                  <w:r>
                    <w:rPr>
                      <w:rFonts w:hint="default"/>
                      <w:sz w:val="21"/>
                      <w:szCs w:val="21"/>
                    </w:rPr>
                    <w:t>本项目为风力发电项目，符合该规划纲要的要求。</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sz w:val="21"/>
                      <w:szCs w:val="21"/>
                    </w:rPr>
                  </w:pPr>
                  <w:r>
                    <w:rPr>
                      <w:rFonts w:hint="default"/>
                      <w:sz w:val="21"/>
                      <w:szCs w:val="21"/>
                    </w:rPr>
                    <w:t>5</w:t>
                  </w:r>
                </w:p>
              </w:tc>
              <w:tc>
                <w:tcPr>
                  <w:tcW w:w="789" w:type="pct"/>
                  <w:vAlign w:val="center"/>
                </w:tcPr>
                <w:p>
                  <w:pPr>
                    <w:jc w:val="center"/>
                    <w:rPr>
                      <w:rFonts w:hint="default"/>
                      <w:sz w:val="21"/>
                      <w:szCs w:val="21"/>
                    </w:rPr>
                  </w:pPr>
                  <w:r>
                    <w:rPr>
                      <w:rFonts w:hint="default"/>
                      <w:sz w:val="21"/>
                      <w:szCs w:val="21"/>
                    </w:rPr>
                    <w:t>与《陕西省主体功能区规划》符合性分析</w:t>
                  </w:r>
                </w:p>
              </w:tc>
              <w:tc>
                <w:tcPr>
                  <w:tcW w:w="3586" w:type="pct"/>
                  <w:gridSpan w:val="3"/>
                  <w:vAlign w:val="center"/>
                </w:tcPr>
                <w:p>
                  <w:pPr>
                    <w:ind w:firstLine="420" w:firstLineChars="200"/>
                    <w:jc w:val="left"/>
                    <w:rPr>
                      <w:rFonts w:hint="default"/>
                      <w:sz w:val="21"/>
                      <w:szCs w:val="21"/>
                    </w:rPr>
                  </w:pPr>
                  <w:r>
                    <w:rPr>
                      <w:rFonts w:hint="default"/>
                      <w:sz w:val="21"/>
                      <w:szCs w:val="21"/>
                    </w:rPr>
                    <w:t>根据《陕西省主体功能区规划》（2013年9月），本项目地属于渭北东部粮果区，符合“加快建设陕北百万千瓦风电基地，积极推进渭北、秦岭山区风电建设”；且本项目不属于重点生态功能区中限制开发区域。</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eastAsia"/>
                      <w:sz w:val="21"/>
                      <w:szCs w:val="21"/>
                      <w:lang w:val="en-US" w:eastAsia="zh-CN"/>
                    </w:rPr>
                  </w:pPr>
                  <w:r>
                    <w:rPr>
                      <w:rFonts w:hint="eastAsia"/>
                      <w:sz w:val="21"/>
                      <w:szCs w:val="21"/>
                      <w:lang w:val="en-US" w:eastAsia="zh-CN"/>
                    </w:rPr>
                    <w:t>6</w:t>
                  </w:r>
                </w:p>
              </w:tc>
              <w:tc>
                <w:tcPr>
                  <w:tcW w:w="789" w:type="pct"/>
                  <w:vAlign w:val="center"/>
                </w:tcPr>
                <w:p>
                  <w:pPr>
                    <w:jc w:val="center"/>
                    <w:rPr>
                      <w:rFonts w:hint="eastAsia"/>
                      <w:sz w:val="21"/>
                      <w:szCs w:val="21"/>
                      <w:lang w:val="en-US" w:eastAsia="zh-CN"/>
                    </w:rPr>
                  </w:pPr>
                  <w:r>
                    <w:rPr>
                      <w:rFonts w:hint="eastAsia"/>
                      <w:sz w:val="21"/>
                      <w:szCs w:val="21"/>
                      <w:lang w:val="en-US" w:eastAsia="zh-CN"/>
                    </w:rPr>
                    <w:t>与《陕西省分散式风电开发建设规划（2018-2020年）》</w:t>
                  </w:r>
                  <w:r>
                    <w:rPr>
                      <w:rFonts w:hint="default"/>
                      <w:sz w:val="21"/>
                      <w:szCs w:val="21"/>
                    </w:rPr>
                    <w:t>符合性分析</w:t>
                  </w:r>
                </w:p>
              </w:tc>
              <w:tc>
                <w:tcPr>
                  <w:tcW w:w="3586" w:type="pct"/>
                  <w:gridSpan w:val="3"/>
                  <w:vAlign w:val="center"/>
                </w:tcPr>
                <w:p>
                  <w:pPr>
                    <w:ind w:firstLine="420" w:firstLineChars="200"/>
                    <w:jc w:val="left"/>
                    <w:rPr>
                      <w:rFonts w:hint="default"/>
                      <w:sz w:val="21"/>
                      <w:szCs w:val="21"/>
                      <w:lang w:val="en-US" w:eastAsia="zh-CN"/>
                    </w:rPr>
                  </w:pPr>
                  <w:r>
                    <w:rPr>
                      <w:rFonts w:hint="eastAsia"/>
                      <w:sz w:val="21"/>
                      <w:szCs w:val="21"/>
                      <w:lang w:val="en-US" w:eastAsia="zh-CN"/>
                    </w:rPr>
                    <w:t>根据《陕西省分散式风电开发建设规划（2018-2020年）》（陕能新能源[2018]26号），本项目在陕西省“十三五”分散式风电开发建设计划表（2018~2020年）内。因此本项目符合《陕西省分散式风电开发建设规划（2018-2020年）》相关规划。（件附件7）</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eastAsia"/>
                      <w:sz w:val="21"/>
                      <w:szCs w:val="21"/>
                      <w:lang w:val="en-US" w:eastAsia="zh-CN"/>
                    </w:rPr>
                  </w:pPr>
                  <w:r>
                    <w:rPr>
                      <w:rFonts w:hint="eastAsia"/>
                      <w:sz w:val="21"/>
                      <w:szCs w:val="21"/>
                      <w:lang w:val="en-US" w:eastAsia="zh-CN"/>
                    </w:rPr>
                    <w:t>7</w:t>
                  </w:r>
                </w:p>
              </w:tc>
              <w:tc>
                <w:tcPr>
                  <w:tcW w:w="789" w:type="pct"/>
                  <w:vAlign w:val="center"/>
                </w:tcPr>
                <w:p>
                  <w:pPr>
                    <w:jc w:val="center"/>
                    <w:rPr>
                      <w:rFonts w:hint="default"/>
                      <w:sz w:val="21"/>
                      <w:szCs w:val="21"/>
                      <w:lang w:val="en-US" w:eastAsia="zh-CN"/>
                    </w:rPr>
                  </w:pPr>
                  <w:r>
                    <w:rPr>
                      <w:rFonts w:hint="eastAsia"/>
                      <w:sz w:val="21"/>
                      <w:szCs w:val="21"/>
                      <w:lang w:val="en-US" w:eastAsia="zh-CN"/>
                    </w:rPr>
                    <w:t>与范家镇、两宜镇土地规划符合性分析</w:t>
                  </w:r>
                </w:p>
              </w:tc>
              <w:tc>
                <w:tcPr>
                  <w:tcW w:w="3586" w:type="pct"/>
                  <w:gridSpan w:val="3"/>
                  <w:vAlign w:val="center"/>
                </w:tcPr>
                <w:p>
                  <w:pPr>
                    <w:ind w:firstLine="420" w:firstLineChars="200"/>
                    <w:jc w:val="left"/>
                    <w:rPr>
                      <w:rFonts w:hint="default"/>
                      <w:sz w:val="21"/>
                      <w:szCs w:val="21"/>
                      <w:lang w:val="en-US" w:eastAsia="zh-CN"/>
                    </w:rPr>
                  </w:pPr>
                  <w:r>
                    <w:rPr>
                      <w:rFonts w:hint="eastAsia"/>
                      <w:sz w:val="21"/>
                      <w:szCs w:val="21"/>
                      <w:lang w:val="en-US" w:eastAsia="zh-CN"/>
                    </w:rPr>
                    <w:t>根据《大荔县人民政府关于大荔县2020年第2次土地利用总体规划修改方案的请示》（附件8）、大荔县范家镇土地利用现状图、大荔县两宜镇土地利用现状图（附图12），本项目建设所占地块已办理完用地手续。</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eastAsia"/>
                      <w:sz w:val="21"/>
                      <w:szCs w:val="21"/>
                      <w:lang w:eastAsia="zh-CN"/>
                    </w:rPr>
                  </w:pPr>
                  <w:r>
                    <w:rPr>
                      <w:rFonts w:hint="eastAsia"/>
                      <w:sz w:val="21"/>
                      <w:szCs w:val="21"/>
                      <w:lang w:val="en-US" w:eastAsia="zh-CN"/>
                    </w:rPr>
                    <w:t>8</w:t>
                  </w:r>
                </w:p>
              </w:tc>
              <w:tc>
                <w:tcPr>
                  <w:tcW w:w="789" w:type="pct"/>
                  <w:vAlign w:val="center"/>
                </w:tcPr>
                <w:p>
                  <w:pPr>
                    <w:jc w:val="center"/>
                    <w:rPr>
                      <w:rFonts w:hint="default"/>
                      <w:sz w:val="21"/>
                      <w:szCs w:val="21"/>
                    </w:rPr>
                  </w:pPr>
                  <w:r>
                    <w:rPr>
                      <w:rFonts w:hint="default"/>
                      <w:sz w:val="21"/>
                      <w:szCs w:val="21"/>
                    </w:rPr>
                    <w:t>与《渭南市市国民经济和社会发展第十三个五年规划纲要》符合性分析</w:t>
                  </w:r>
                </w:p>
              </w:tc>
              <w:tc>
                <w:tcPr>
                  <w:tcW w:w="3586" w:type="pct"/>
                  <w:gridSpan w:val="3"/>
                  <w:vAlign w:val="center"/>
                </w:tcPr>
                <w:p>
                  <w:pPr>
                    <w:ind w:firstLine="420" w:firstLineChars="200"/>
                    <w:jc w:val="left"/>
                    <w:rPr>
                      <w:rFonts w:hint="default"/>
                      <w:sz w:val="21"/>
                      <w:szCs w:val="21"/>
                    </w:rPr>
                  </w:pPr>
                  <w:r>
                    <w:rPr>
                      <w:rFonts w:hint="default"/>
                      <w:sz w:val="21"/>
                      <w:szCs w:val="21"/>
                    </w:rPr>
                    <w:t>《渭南市市国民经济和社会发展第十三个五年规划纲要》中提到“加快再生能源建设，提高风电、太阳能光伏、生物质等再生能源比重，继续实施重点区域绿化和水土保持工程，增强森林及生态系统碳汇能力。”</w:t>
                  </w:r>
                </w:p>
                <w:p>
                  <w:pPr>
                    <w:ind w:firstLine="420" w:firstLineChars="200"/>
                    <w:jc w:val="left"/>
                    <w:rPr>
                      <w:rFonts w:hint="default"/>
                      <w:sz w:val="21"/>
                      <w:szCs w:val="21"/>
                    </w:rPr>
                  </w:pPr>
                  <w:r>
                    <w:rPr>
                      <w:rFonts w:hint="default"/>
                      <w:sz w:val="21"/>
                      <w:szCs w:val="21"/>
                    </w:rPr>
                    <w:t>本项目为风力发电项目，项目装机容量30MW，可推进新能源及节能环保产业发展，符合规划要求。</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eastAsia"/>
                      <w:sz w:val="21"/>
                      <w:szCs w:val="21"/>
                      <w:lang w:eastAsia="zh-CN"/>
                    </w:rPr>
                  </w:pPr>
                  <w:r>
                    <w:rPr>
                      <w:rFonts w:hint="eastAsia"/>
                      <w:sz w:val="21"/>
                      <w:szCs w:val="21"/>
                      <w:lang w:val="en-US" w:eastAsia="zh-CN"/>
                    </w:rPr>
                    <w:t>9</w:t>
                  </w:r>
                </w:p>
              </w:tc>
              <w:tc>
                <w:tcPr>
                  <w:tcW w:w="789" w:type="pct"/>
                  <w:vAlign w:val="center"/>
                </w:tcPr>
                <w:p>
                  <w:pPr>
                    <w:jc w:val="center"/>
                    <w:rPr>
                      <w:rFonts w:hint="default"/>
                      <w:sz w:val="21"/>
                      <w:szCs w:val="21"/>
                    </w:rPr>
                  </w:pPr>
                  <w:r>
                    <w:rPr>
                      <w:rFonts w:hint="default"/>
                      <w:sz w:val="21"/>
                      <w:szCs w:val="21"/>
                    </w:rPr>
                    <w:t>与《渭南市市国民经济和社会发展第十三个五年规划纲要》符合性分析</w:t>
                  </w:r>
                </w:p>
              </w:tc>
              <w:tc>
                <w:tcPr>
                  <w:tcW w:w="3586" w:type="pct"/>
                  <w:gridSpan w:val="3"/>
                  <w:vAlign w:val="center"/>
                </w:tcPr>
                <w:p>
                  <w:pPr>
                    <w:ind w:firstLine="420" w:firstLineChars="200"/>
                    <w:jc w:val="left"/>
                    <w:rPr>
                      <w:rFonts w:hint="default"/>
                      <w:sz w:val="21"/>
                      <w:szCs w:val="21"/>
                    </w:rPr>
                  </w:pPr>
                  <w:r>
                    <w:rPr>
                      <w:rFonts w:hint="default"/>
                      <w:sz w:val="21"/>
                      <w:szCs w:val="21"/>
                    </w:rPr>
                    <w:t>《渭南市市国民经济和社会发展第十三个五年规划纲要》中提到“加快再生能源建设，提高风电、太阳能光伏、生物质等再生能源比重，继续实施重点区域绿化和水土保持工程，增强森林及生态系统碳汇能力。”</w:t>
                  </w:r>
                </w:p>
                <w:p>
                  <w:pPr>
                    <w:ind w:firstLine="420" w:firstLineChars="200"/>
                    <w:jc w:val="left"/>
                    <w:rPr>
                      <w:rFonts w:hint="default"/>
                      <w:sz w:val="21"/>
                      <w:szCs w:val="21"/>
                    </w:rPr>
                  </w:pPr>
                  <w:r>
                    <w:rPr>
                      <w:rFonts w:hint="default"/>
                      <w:sz w:val="21"/>
                      <w:szCs w:val="21"/>
                    </w:rPr>
                    <w:t>本项目为风力发电项目，项目装机容量30MW，可推进新能源及节能环保产业发展，符合规划要求。</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sz w:val="21"/>
                      <w:szCs w:val="21"/>
                      <w:lang w:val="en-US" w:eastAsia="zh-CN"/>
                    </w:rPr>
                  </w:pPr>
                  <w:r>
                    <w:rPr>
                      <w:rFonts w:hint="eastAsia"/>
                      <w:sz w:val="21"/>
                      <w:szCs w:val="21"/>
                      <w:lang w:val="en-US" w:eastAsia="zh-CN"/>
                    </w:rPr>
                    <w:t>10</w:t>
                  </w:r>
                </w:p>
              </w:tc>
              <w:tc>
                <w:tcPr>
                  <w:tcW w:w="789" w:type="pct"/>
                  <w:vAlign w:val="center"/>
                </w:tcPr>
                <w:p>
                  <w:pPr>
                    <w:jc w:val="center"/>
                    <w:rPr>
                      <w:rFonts w:hint="eastAsia"/>
                      <w:sz w:val="21"/>
                      <w:szCs w:val="21"/>
                      <w:lang w:val="en-US" w:eastAsia="zh-CN"/>
                    </w:rPr>
                  </w:pPr>
                  <w:r>
                    <w:rPr>
                      <w:rFonts w:hint="eastAsia"/>
                      <w:sz w:val="21"/>
                      <w:szCs w:val="21"/>
                      <w:lang w:val="en-US" w:eastAsia="zh-CN"/>
                    </w:rPr>
                    <w:t>与《陕西省生态环境厅关于同意渭南市乡镇（农村）集中式水源保护区有关意见的复函》</w:t>
                  </w:r>
                </w:p>
              </w:tc>
              <w:tc>
                <w:tcPr>
                  <w:tcW w:w="3586" w:type="pct"/>
                  <w:gridSpan w:val="3"/>
                  <w:vAlign w:val="center"/>
                </w:tcPr>
                <w:p>
                  <w:pPr>
                    <w:ind w:firstLine="420" w:firstLineChars="200"/>
                    <w:jc w:val="left"/>
                    <w:rPr>
                      <w:rFonts w:hint="default"/>
                      <w:sz w:val="21"/>
                      <w:szCs w:val="21"/>
                      <w:lang w:val="en-US" w:eastAsia="zh-CN"/>
                    </w:rPr>
                  </w:pPr>
                  <w:r>
                    <w:rPr>
                      <w:rFonts w:hint="eastAsia"/>
                      <w:sz w:val="21"/>
                      <w:szCs w:val="21"/>
                      <w:lang w:val="en-US" w:eastAsia="zh-CN"/>
                    </w:rPr>
                    <w:t>通过查阅《陕西省生态环境厅关于同意渭南市乡镇（农村）集中式水源保护区有关意见的复函》陕环函[2020]118号，项目占地不在集中式水源保护区保护范围之内。</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sz w:val="21"/>
                      <w:szCs w:val="21"/>
                      <w:lang w:val="en-US" w:eastAsia="zh-CN"/>
                    </w:rPr>
                  </w:pPr>
                  <w:r>
                    <w:rPr>
                      <w:rFonts w:hint="eastAsia"/>
                      <w:sz w:val="21"/>
                      <w:szCs w:val="21"/>
                      <w:lang w:val="en-US" w:eastAsia="zh-CN"/>
                    </w:rPr>
                    <w:t>11</w:t>
                  </w:r>
                </w:p>
              </w:tc>
              <w:tc>
                <w:tcPr>
                  <w:tcW w:w="789" w:type="pct"/>
                  <w:vAlign w:val="center"/>
                </w:tcPr>
                <w:p>
                  <w:pPr>
                    <w:jc w:val="center"/>
                    <w:rPr>
                      <w:rFonts w:hint="default"/>
                      <w:sz w:val="21"/>
                      <w:szCs w:val="21"/>
                    </w:rPr>
                  </w:pPr>
                  <w:r>
                    <w:rPr>
                      <w:rFonts w:hint="default"/>
                      <w:sz w:val="21"/>
                      <w:szCs w:val="21"/>
                    </w:rPr>
                    <w:t>与《自然资源部农业农村部关于加强和改进永久基本农田保护工作的通知》（自然资规[2019]1号）符合性分析</w:t>
                  </w:r>
                </w:p>
              </w:tc>
              <w:tc>
                <w:tcPr>
                  <w:tcW w:w="3586" w:type="pct"/>
                  <w:gridSpan w:val="3"/>
                  <w:vAlign w:val="center"/>
                </w:tcPr>
                <w:p>
                  <w:pPr>
                    <w:ind w:firstLine="420" w:firstLineChars="200"/>
                    <w:jc w:val="left"/>
                    <w:rPr>
                      <w:rFonts w:hint="default"/>
                      <w:sz w:val="21"/>
                      <w:szCs w:val="21"/>
                    </w:rPr>
                  </w:pPr>
                  <w:r>
                    <w:rPr>
                      <w:rFonts w:hint="default"/>
                      <w:sz w:val="21"/>
                      <w:szCs w:val="21"/>
                    </w:rPr>
                    <w:t>临时用地一般不得占用永久基本农田，建设项目施工和地质勘查需要临时用地、选址确实难以避让永久基本农田的，在不修建永久性建（构）筑物、经复垦能恢复原种植条件的前提下，土地使用者按法定程序申请临时用地并编制土地复垦方案，经县级自然资源主管部门批准可临时占用，并在市级自然资源主管部门备案，一般不超过两年。</w:t>
                  </w:r>
                </w:p>
                <w:p>
                  <w:pPr>
                    <w:ind w:firstLine="420" w:firstLineChars="200"/>
                    <w:jc w:val="left"/>
                    <w:rPr>
                      <w:rFonts w:hint="default"/>
                      <w:sz w:val="21"/>
                      <w:szCs w:val="21"/>
                    </w:rPr>
                  </w:pPr>
                  <w:r>
                    <w:rPr>
                      <w:rFonts w:hint="default"/>
                      <w:sz w:val="21"/>
                      <w:szCs w:val="21"/>
                    </w:rPr>
                    <w:t>本项目为分散式风电建设项目，项目建设和施工临时用地</w:t>
                  </w:r>
                  <w:r>
                    <w:rPr>
                      <w:rFonts w:hint="eastAsia"/>
                      <w:sz w:val="21"/>
                      <w:szCs w:val="21"/>
                      <w:lang w:val="en-US" w:eastAsia="zh-CN"/>
                    </w:rPr>
                    <w:t>不</w:t>
                  </w:r>
                  <w:r>
                    <w:rPr>
                      <w:rFonts w:hint="default"/>
                      <w:sz w:val="21"/>
                      <w:szCs w:val="21"/>
                    </w:rPr>
                    <w:t>需占用基本农田。</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Align w:val="center"/>
                </w:tcPr>
                <w:p>
                  <w:pPr>
                    <w:jc w:val="center"/>
                    <w:rPr>
                      <w:rFonts w:hint="default"/>
                      <w:sz w:val="21"/>
                      <w:szCs w:val="21"/>
                      <w:lang w:val="en-US" w:eastAsia="zh-CN"/>
                    </w:rPr>
                  </w:pPr>
                  <w:r>
                    <w:rPr>
                      <w:rFonts w:hint="eastAsia"/>
                      <w:sz w:val="21"/>
                      <w:szCs w:val="21"/>
                      <w:lang w:val="en-US" w:eastAsia="zh-CN"/>
                    </w:rPr>
                    <w:t>12</w:t>
                  </w:r>
                </w:p>
              </w:tc>
              <w:tc>
                <w:tcPr>
                  <w:tcW w:w="789" w:type="pct"/>
                  <w:vAlign w:val="center"/>
                </w:tcPr>
                <w:p>
                  <w:pPr>
                    <w:rPr>
                      <w:rFonts w:hint="default"/>
                      <w:sz w:val="21"/>
                      <w:szCs w:val="21"/>
                    </w:rPr>
                  </w:pPr>
                  <w:r>
                    <w:rPr>
                      <w:rFonts w:hint="default"/>
                      <w:sz w:val="21"/>
                      <w:szCs w:val="21"/>
                    </w:rPr>
                    <w:t>《大荔县国民经济和社会发展第十三个五年规划纲要》</w:t>
                  </w:r>
                </w:p>
              </w:tc>
              <w:tc>
                <w:tcPr>
                  <w:tcW w:w="3586" w:type="pct"/>
                  <w:gridSpan w:val="3"/>
                  <w:vAlign w:val="center"/>
                </w:tcPr>
                <w:p>
                  <w:pPr>
                    <w:ind w:firstLine="420" w:firstLineChars="200"/>
                    <w:rPr>
                      <w:rFonts w:hint="default"/>
                      <w:sz w:val="21"/>
                      <w:szCs w:val="21"/>
                    </w:rPr>
                  </w:pPr>
                  <w:r>
                    <w:rPr>
                      <w:rFonts w:hint="default"/>
                      <w:sz w:val="21"/>
                      <w:szCs w:val="21"/>
                    </w:rPr>
                    <w:t>第五篇 坚持绿色发展 扩大生态环境容量 第三章 低碳经济循环发展 鼓励开发和生产高附加值、低能耗产品，实现产业结构低碳化；广泛推行低碳消费理念，实现低碳消费公众化；加快开发利用生物质能和太阳能等清洁能源，实现低碳能源产业化。重点围绕节能减排、低碳生产、清洁循环等组织实施重大科技攻关，推动节能、节水、综合利用技术改造项目和节能产业化项目的实施。建立健全新技术普及体系，加快低碳技术、循环技术改造传统工业步伐。积极开发清洁能源项目，形成全民参与低碳发展的社会氛围。做好沙苑生态治理保护，形成环保治理和生态改善相结合、防护功能与产业发展于一体的多元开发治理格局。以申报省级循环经济试点为契机，大力推进资源循环利用，打造省级生态工业示范园。</w:t>
                  </w:r>
                </w:p>
                <w:p>
                  <w:pPr>
                    <w:ind w:firstLine="420" w:firstLineChars="200"/>
                    <w:rPr>
                      <w:rFonts w:hint="default"/>
                      <w:sz w:val="21"/>
                      <w:szCs w:val="21"/>
                    </w:rPr>
                  </w:pPr>
                  <w:r>
                    <w:rPr>
                      <w:rFonts w:hint="default"/>
                      <w:sz w:val="21"/>
                      <w:szCs w:val="21"/>
                    </w:rPr>
                    <w:t>项目为风力发电项目不产生传统发电项目（燃煤发电、柴油发电等）带来的污染物排放和安全问题，没有废气或噪音污染，没有二氧化硫、氮氧化物以及二氧化碳排放。开发清洁的、可再生的风能符合国家环保、节能政策。项目属于清洁能源项目。</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restart"/>
                  <w:vAlign w:val="center"/>
                </w:tcPr>
                <w:p>
                  <w:pPr>
                    <w:jc w:val="center"/>
                    <w:rPr>
                      <w:rFonts w:hint="default"/>
                      <w:sz w:val="21"/>
                      <w:szCs w:val="21"/>
                      <w:lang w:val="en-US" w:eastAsia="zh-CN"/>
                    </w:rPr>
                  </w:pPr>
                  <w:r>
                    <w:rPr>
                      <w:rFonts w:hint="eastAsia"/>
                      <w:sz w:val="21"/>
                      <w:szCs w:val="21"/>
                      <w:lang w:val="en-US" w:eastAsia="zh-CN"/>
                    </w:rPr>
                    <w:t>13</w:t>
                  </w:r>
                </w:p>
              </w:tc>
              <w:tc>
                <w:tcPr>
                  <w:tcW w:w="789" w:type="pct"/>
                  <w:vMerge w:val="restart"/>
                  <w:vAlign w:val="center"/>
                </w:tcPr>
                <w:p>
                  <w:pPr>
                    <w:jc w:val="center"/>
                    <w:rPr>
                      <w:rFonts w:hint="default"/>
                      <w:sz w:val="21"/>
                      <w:szCs w:val="21"/>
                    </w:rPr>
                  </w:pPr>
                  <w:r>
                    <w:rPr>
                      <w:rFonts w:hint="default"/>
                      <w:sz w:val="21"/>
                      <w:szCs w:val="21"/>
                    </w:rPr>
                    <w:t>“三线一单”符合性分析</w:t>
                  </w:r>
                </w:p>
              </w:tc>
              <w:tc>
                <w:tcPr>
                  <w:tcW w:w="721" w:type="pct"/>
                  <w:vAlign w:val="center"/>
                </w:tcPr>
                <w:p>
                  <w:pPr>
                    <w:jc w:val="center"/>
                    <w:rPr>
                      <w:rFonts w:hint="default"/>
                      <w:sz w:val="21"/>
                      <w:szCs w:val="21"/>
                    </w:rPr>
                  </w:pPr>
                  <w:r>
                    <w:rPr>
                      <w:rFonts w:hint="default"/>
                      <w:sz w:val="21"/>
                      <w:szCs w:val="21"/>
                    </w:rPr>
                    <w:t>生态</w:t>
                  </w:r>
                </w:p>
                <w:p>
                  <w:pPr>
                    <w:jc w:val="center"/>
                    <w:rPr>
                      <w:rFonts w:hint="default"/>
                      <w:sz w:val="21"/>
                      <w:szCs w:val="21"/>
                    </w:rPr>
                  </w:pPr>
                  <w:r>
                    <w:rPr>
                      <w:rFonts w:hint="default"/>
                      <w:sz w:val="21"/>
                      <w:szCs w:val="21"/>
                    </w:rPr>
                    <w:t>保护</w:t>
                  </w:r>
                </w:p>
                <w:p>
                  <w:pPr>
                    <w:jc w:val="center"/>
                    <w:rPr>
                      <w:rFonts w:hint="default"/>
                      <w:sz w:val="21"/>
                      <w:szCs w:val="21"/>
                    </w:rPr>
                  </w:pPr>
                  <w:r>
                    <w:rPr>
                      <w:rFonts w:hint="default"/>
                      <w:sz w:val="21"/>
                      <w:szCs w:val="21"/>
                    </w:rPr>
                    <w:t>红线</w:t>
                  </w:r>
                </w:p>
              </w:tc>
              <w:tc>
                <w:tcPr>
                  <w:tcW w:w="2865" w:type="pct"/>
                  <w:gridSpan w:val="2"/>
                  <w:vAlign w:val="center"/>
                </w:tcPr>
                <w:p>
                  <w:pPr>
                    <w:ind w:firstLine="420" w:firstLineChars="200"/>
                    <w:jc w:val="left"/>
                    <w:rPr>
                      <w:rFonts w:hint="default"/>
                      <w:sz w:val="21"/>
                      <w:szCs w:val="21"/>
                    </w:rPr>
                  </w:pPr>
                  <w:r>
                    <w:rPr>
                      <w:rFonts w:hint="default"/>
                      <w:sz w:val="21"/>
                      <w:szCs w:val="21"/>
                    </w:rPr>
                    <w:t>本项目位于渭南市大荔县两宜镇、范家镇，项目所在区无自然保护区、风景名胜区、饮用水源保护区等敏感区，不涉及生态红线。</w:t>
                  </w:r>
                </w:p>
                <w:p>
                  <w:pPr>
                    <w:ind w:firstLine="420" w:firstLineChars="200"/>
                    <w:jc w:val="left"/>
                    <w:rPr>
                      <w:rFonts w:hint="default"/>
                      <w:sz w:val="21"/>
                      <w:szCs w:val="21"/>
                    </w:rPr>
                  </w:pPr>
                  <w:r>
                    <w:rPr>
                      <w:rFonts w:hint="default"/>
                      <w:sz w:val="21"/>
                      <w:szCs w:val="21"/>
                    </w:rPr>
                    <w:t>根据渭南市大荔县林业局《关于核查国顺新能源渭南市大荔县范家两宜分散式风电项目建设用地情况的说明》，本项目所占地块均不在林地、陕西黄河湿地省级自然保护区（大荔段）和陕西大荔县朝邑国家湿地公园、沙苑自然保护区范围内。（见附件</w:t>
                  </w:r>
                  <w:r>
                    <w:rPr>
                      <w:rFonts w:hint="eastAsia"/>
                      <w:sz w:val="21"/>
                      <w:szCs w:val="21"/>
                      <w:lang w:val="en-US" w:eastAsia="zh-CN"/>
                    </w:rPr>
                    <w:t>4</w:t>
                  </w:r>
                  <w:r>
                    <w:rPr>
                      <w:rFonts w:hint="default"/>
                      <w:sz w:val="21"/>
                      <w:szCs w:val="21"/>
                    </w:rPr>
                    <w:t>）。</w:t>
                  </w:r>
                </w:p>
                <w:p>
                  <w:pPr>
                    <w:ind w:firstLine="420" w:firstLineChars="200"/>
                    <w:jc w:val="left"/>
                    <w:rPr>
                      <w:rFonts w:hint="default"/>
                      <w:sz w:val="21"/>
                      <w:szCs w:val="21"/>
                    </w:rPr>
                  </w:pPr>
                  <w:r>
                    <w:rPr>
                      <w:rFonts w:hint="default"/>
                      <w:sz w:val="21"/>
                      <w:szCs w:val="21"/>
                    </w:rPr>
                    <w:t>根据渭南市大荔县生态环境局《关于大荔国顺新能源有限公司30MW风电项目有关请示的回复》，本项目选址未在生态保护红线范围内（见附件</w:t>
                  </w:r>
                  <w:r>
                    <w:rPr>
                      <w:rFonts w:hint="eastAsia"/>
                      <w:sz w:val="21"/>
                      <w:szCs w:val="21"/>
                      <w:lang w:val="en-US" w:eastAsia="zh-CN"/>
                    </w:rPr>
                    <w:t>5</w:t>
                  </w:r>
                  <w:r>
                    <w:rPr>
                      <w:rFonts w:hint="default"/>
                      <w:sz w:val="21"/>
                      <w:szCs w:val="21"/>
                    </w:rPr>
                    <w:t>）。</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blHeader/>
              </w:trPr>
              <w:tc>
                <w:tcPr>
                  <w:tcW w:w="248" w:type="pct"/>
                  <w:vMerge w:val="continue"/>
                  <w:vAlign w:val="center"/>
                </w:tcPr>
                <w:p>
                  <w:pPr>
                    <w:jc w:val="center"/>
                    <w:rPr>
                      <w:rFonts w:hint="default"/>
                      <w:sz w:val="21"/>
                      <w:szCs w:val="21"/>
                    </w:rPr>
                  </w:pPr>
                </w:p>
              </w:tc>
              <w:tc>
                <w:tcPr>
                  <w:tcW w:w="789" w:type="pct"/>
                  <w:vMerge w:val="continue"/>
                  <w:vAlign w:val="center"/>
                </w:tcPr>
                <w:p>
                  <w:pPr>
                    <w:jc w:val="center"/>
                    <w:rPr>
                      <w:rFonts w:hint="default"/>
                      <w:sz w:val="21"/>
                      <w:szCs w:val="21"/>
                    </w:rPr>
                  </w:pPr>
                </w:p>
              </w:tc>
              <w:tc>
                <w:tcPr>
                  <w:tcW w:w="721" w:type="pct"/>
                  <w:vAlign w:val="center"/>
                </w:tcPr>
                <w:p>
                  <w:pPr>
                    <w:jc w:val="center"/>
                    <w:rPr>
                      <w:rFonts w:hint="default"/>
                      <w:sz w:val="21"/>
                      <w:szCs w:val="21"/>
                    </w:rPr>
                  </w:pPr>
                  <w:r>
                    <w:rPr>
                      <w:rFonts w:hint="default"/>
                      <w:sz w:val="21"/>
                      <w:szCs w:val="21"/>
                    </w:rPr>
                    <w:t>资源</w:t>
                  </w:r>
                </w:p>
                <w:p>
                  <w:pPr>
                    <w:jc w:val="center"/>
                    <w:rPr>
                      <w:rFonts w:hint="default"/>
                      <w:sz w:val="21"/>
                      <w:szCs w:val="21"/>
                    </w:rPr>
                  </w:pPr>
                  <w:r>
                    <w:rPr>
                      <w:rFonts w:hint="default"/>
                      <w:sz w:val="21"/>
                      <w:szCs w:val="21"/>
                    </w:rPr>
                    <w:t>利用</w:t>
                  </w:r>
                </w:p>
                <w:p>
                  <w:pPr>
                    <w:jc w:val="center"/>
                    <w:rPr>
                      <w:rFonts w:hint="default"/>
                      <w:sz w:val="21"/>
                      <w:szCs w:val="21"/>
                    </w:rPr>
                  </w:pPr>
                  <w:r>
                    <w:rPr>
                      <w:rFonts w:hint="default"/>
                      <w:sz w:val="21"/>
                      <w:szCs w:val="21"/>
                    </w:rPr>
                    <w:t>上线</w:t>
                  </w:r>
                </w:p>
              </w:tc>
              <w:tc>
                <w:tcPr>
                  <w:tcW w:w="2865" w:type="pct"/>
                  <w:gridSpan w:val="2"/>
                  <w:vAlign w:val="center"/>
                </w:tcPr>
                <w:p>
                  <w:pPr>
                    <w:ind w:firstLine="420" w:firstLineChars="200"/>
                    <w:jc w:val="left"/>
                    <w:rPr>
                      <w:rFonts w:hint="default"/>
                      <w:sz w:val="21"/>
                      <w:szCs w:val="21"/>
                    </w:rPr>
                  </w:pPr>
                  <w:r>
                    <w:rPr>
                      <w:rFonts w:hint="default"/>
                      <w:sz w:val="21"/>
                      <w:szCs w:val="21"/>
                    </w:rPr>
                    <w:t>本项目为风力发电建设项目，施工期主要能源消耗为水、电，能源消耗量较小，因此项目不触及资源利用上线。</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continue"/>
                  <w:vAlign w:val="center"/>
                </w:tcPr>
                <w:p>
                  <w:pPr>
                    <w:jc w:val="center"/>
                    <w:rPr>
                      <w:rFonts w:hint="default"/>
                      <w:sz w:val="21"/>
                      <w:szCs w:val="21"/>
                    </w:rPr>
                  </w:pPr>
                </w:p>
              </w:tc>
              <w:tc>
                <w:tcPr>
                  <w:tcW w:w="789" w:type="pct"/>
                  <w:vMerge w:val="continue"/>
                  <w:vAlign w:val="center"/>
                </w:tcPr>
                <w:p>
                  <w:pPr>
                    <w:jc w:val="center"/>
                    <w:rPr>
                      <w:rFonts w:hint="default"/>
                      <w:sz w:val="21"/>
                      <w:szCs w:val="21"/>
                    </w:rPr>
                  </w:pPr>
                </w:p>
              </w:tc>
              <w:tc>
                <w:tcPr>
                  <w:tcW w:w="728" w:type="pct"/>
                  <w:gridSpan w:val="2"/>
                  <w:vAlign w:val="center"/>
                </w:tcPr>
                <w:p>
                  <w:pPr>
                    <w:jc w:val="center"/>
                    <w:rPr>
                      <w:rFonts w:hint="default"/>
                      <w:sz w:val="21"/>
                      <w:szCs w:val="21"/>
                    </w:rPr>
                  </w:pPr>
                  <w:r>
                    <w:rPr>
                      <w:rFonts w:hint="default"/>
                      <w:sz w:val="21"/>
                      <w:szCs w:val="21"/>
                    </w:rPr>
                    <w:t>环境</w:t>
                  </w:r>
                </w:p>
                <w:p>
                  <w:pPr>
                    <w:pStyle w:val="16"/>
                    <w:spacing w:after="0"/>
                    <w:ind w:left="0" w:leftChars="0" w:firstLine="0" w:firstLineChars="0"/>
                    <w:jc w:val="center"/>
                    <w:rPr>
                      <w:rFonts w:hint="default"/>
                      <w:sz w:val="21"/>
                      <w:szCs w:val="21"/>
                    </w:rPr>
                  </w:pPr>
                  <w:r>
                    <w:rPr>
                      <w:rFonts w:hint="default"/>
                      <w:sz w:val="21"/>
                      <w:szCs w:val="21"/>
                    </w:rPr>
                    <w:t>质量</w:t>
                  </w:r>
                </w:p>
                <w:p>
                  <w:pPr>
                    <w:jc w:val="center"/>
                    <w:rPr>
                      <w:rFonts w:hint="default"/>
                      <w:sz w:val="21"/>
                      <w:szCs w:val="21"/>
                    </w:rPr>
                  </w:pPr>
                  <w:r>
                    <w:rPr>
                      <w:rFonts w:hint="default"/>
                      <w:sz w:val="21"/>
                      <w:szCs w:val="21"/>
                    </w:rPr>
                    <w:t>底线</w:t>
                  </w:r>
                </w:p>
              </w:tc>
              <w:tc>
                <w:tcPr>
                  <w:tcW w:w="2858" w:type="pct"/>
                  <w:vAlign w:val="center"/>
                </w:tcPr>
                <w:p>
                  <w:pPr>
                    <w:ind w:firstLine="420" w:firstLineChars="200"/>
                    <w:jc w:val="left"/>
                    <w:rPr>
                      <w:rFonts w:hint="default"/>
                      <w:sz w:val="21"/>
                      <w:szCs w:val="21"/>
                    </w:rPr>
                  </w:pPr>
                  <w:r>
                    <w:rPr>
                      <w:rFonts w:hint="default"/>
                      <w:sz w:val="21"/>
                      <w:szCs w:val="21"/>
                      <w:lang w:val="zh-CN"/>
                    </w:rPr>
                    <w:t>项目建成后无废气、废水排放，固废合理处置，对环境的影响较小，不会改变区域环境功能，项目的建设不触及环境质量底线。</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continue"/>
                  <w:vAlign w:val="center"/>
                </w:tcPr>
                <w:p>
                  <w:pPr>
                    <w:jc w:val="center"/>
                    <w:rPr>
                      <w:rFonts w:hint="default"/>
                      <w:sz w:val="21"/>
                      <w:szCs w:val="21"/>
                    </w:rPr>
                  </w:pPr>
                </w:p>
              </w:tc>
              <w:tc>
                <w:tcPr>
                  <w:tcW w:w="789" w:type="pct"/>
                  <w:vMerge w:val="continue"/>
                  <w:vAlign w:val="center"/>
                </w:tcPr>
                <w:p>
                  <w:pPr>
                    <w:jc w:val="center"/>
                    <w:rPr>
                      <w:rFonts w:hint="default"/>
                      <w:sz w:val="21"/>
                      <w:szCs w:val="21"/>
                    </w:rPr>
                  </w:pPr>
                </w:p>
              </w:tc>
              <w:tc>
                <w:tcPr>
                  <w:tcW w:w="728" w:type="pct"/>
                  <w:gridSpan w:val="2"/>
                  <w:vAlign w:val="center"/>
                </w:tcPr>
                <w:p>
                  <w:pPr>
                    <w:jc w:val="center"/>
                    <w:rPr>
                      <w:rFonts w:hint="default"/>
                      <w:sz w:val="21"/>
                      <w:szCs w:val="21"/>
                    </w:rPr>
                  </w:pPr>
                  <w:r>
                    <w:rPr>
                      <w:rFonts w:hint="default"/>
                      <w:sz w:val="21"/>
                      <w:szCs w:val="21"/>
                    </w:rPr>
                    <w:t>环境</w:t>
                  </w:r>
                </w:p>
                <w:p>
                  <w:pPr>
                    <w:pStyle w:val="16"/>
                    <w:spacing w:after="0"/>
                    <w:ind w:left="0" w:leftChars="0" w:firstLine="0" w:firstLineChars="0"/>
                    <w:jc w:val="center"/>
                    <w:rPr>
                      <w:rFonts w:hint="default"/>
                      <w:sz w:val="21"/>
                      <w:szCs w:val="21"/>
                    </w:rPr>
                  </w:pPr>
                  <w:r>
                    <w:rPr>
                      <w:rFonts w:hint="default"/>
                      <w:sz w:val="21"/>
                      <w:szCs w:val="21"/>
                    </w:rPr>
                    <w:t>准入</w:t>
                  </w:r>
                </w:p>
                <w:p>
                  <w:pPr>
                    <w:jc w:val="center"/>
                    <w:rPr>
                      <w:rFonts w:hint="default"/>
                      <w:sz w:val="21"/>
                      <w:szCs w:val="21"/>
                    </w:rPr>
                  </w:pPr>
                  <w:r>
                    <w:rPr>
                      <w:rFonts w:hint="default"/>
                      <w:sz w:val="21"/>
                      <w:szCs w:val="21"/>
                    </w:rPr>
                    <w:t>负面</w:t>
                  </w:r>
                </w:p>
                <w:p>
                  <w:pPr>
                    <w:pStyle w:val="16"/>
                    <w:spacing w:after="0"/>
                    <w:ind w:left="0" w:leftChars="0" w:firstLine="0" w:firstLineChars="0"/>
                    <w:jc w:val="center"/>
                    <w:rPr>
                      <w:rFonts w:hint="default"/>
                      <w:sz w:val="21"/>
                      <w:szCs w:val="21"/>
                    </w:rPr>
                  </w:pPr>
                  <w:r>
                    <w:rPr>
                      <w:rFonts w:hint="default"/>
                      <w:sz w:val="21"/>
                      <w:szCs w:val="21"/>
                    </w:rPr>
                    <w:t>清单</w:t>
                  </w:r>
                </w:p>
              </w:tc>
              <w:tc>
                <w:tcPr>
                  <w:tcW w:w="2858" w:type="pct"/>
                  <w:vAlign w:val="center"/>
                </w:tcPr>
                <w:p>
                  <w:pPr>
                    <w:autoSpaceDE w:val="0"/>
                    <w:autoSpaceDN w:val="0"/>
                    <w:adjustRightInd w:val="0"/>
                    <w:spacing w:line="400" w:lineRule="exact"/>
                    <w:ind w:firstLine="420" w:firstLineChars="200"/>
                    <w:jc w:val="left"/>
                    <w:rPr>
                      <w:rFonts w:hint="default"/>
                      <w:sz w:val="21"/>
                      <w:szCs w:val="21"/>
                      <w:lang w:val="zh-CN"/>
                    </w:rPr>
                  </w:pPr>
                  <w:r>
                    <w:rPr>
                      <w:rFonts w:hint="default"/>
                      <w:sz w:val="21"/>
                      <w:szCs w:val="21"/>
                      <w:lang w:val="zh-CN"/>
                    </w:rPr>
                    <w:t>根据关于印发《陕西省国家重点生态功能区产业准入负面清单（试行）》（陕发改规划[2018]213号）的通知》，本项目不在其之列。</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restart"/>
                  <w:vAlign w:val="center"/>
                </w:tcPr>
                <w:p>
                  <w:pPr>
                    <w:jc w:val="center"/>
                    <w:rPr>
                      <w:rFonts w:hint="default"/>
                      <w:sz w:val="21"/>
                      <w:szCs w:val="21"/>
                      <w:lang w:val="en-US" w:eastAsia="zh-CN"/>
                    </w:rPr>
                  </w:pPr>
                  <w:r>
                    <w:rPr>
                      <w:rFonts w:hint="eastAsia"/>
                      <w:sz w:val="21"/>
                      <w:szCs w:val="21"/>
                      <w:lang w:val="en-US" w:eastAsia="zh-CN"/>
                    </w:rPr>
                    <w:t>14</w:t>
                  </w:r>
                </w:p>
              </w:tc>
              <w:tc>
                <w:tcPr>
                  <w:tcW w:w="789" w:type="pct"/>
                  <w:vMerge w:val="restart"/>
                  <w:vAlign w:val="center"/>
                </w:tcPr>
                <w:p>
                  <w:pPr>
                    <w:jc w:val="center"/>
                    <w:rPr>
                      <w:rFonts w:hint="default"/>
                      <w:sz w:val="21"/>
                      <w:szCs w:val="21"/>
                    </w:rPr>
                  </w:pPr>
                  <w:r>
                    <w:rPr>
                      <w:rFonts w:hint="default"/>
                      <w:sz w:val="21"/>
                      <w:szCs w:val="21"/>
                    </w:rPr>
                    <w:t>选址合理性分析</w:t>
                  </w:r>
                </w:p>
              </w:tc>
              <w:tc>
                <w:tcPr>
                  <w:tcW w:w="728" w:type="pct"/>
                  <w:gridSpan w:val="2"/>
                  <w:vAlign w:val="center"/>
                </w:tcPr>
                <w:p>
                  <w:pPr>
                    <w:jc w:val="center"/>
                    <w:rPr>
                      <w:rFonts w:hint="default"/>
                      <w:sz w:val="21"/>
                      <w:szCs w:val="21"/>
                    </w:rPr>
                  </w:pPr>
                  <w:r>
                    <w:rPr>
                      <w:rFonts w:hint="default"/>
                      <w:sz w:val="21"/>
                      <w:szCs w:val="21"/>
                    </w:rPr>
                    <w:t>风能</w:t>
                  </w:r>
                </w:p>
                <w:p>
                  <w:pPr>
                    <w:jc w:val="center"/>
                    <w:rPr>
                      <w:rFonts w:hint="default"/>
                      <w:sz w:val="21"/>
                      <w:szCs w:val="21"/>
                    </w:rPr>
                  </w:pPr>
                  <w:r>
                    <w:rPr>
                      <w:rFonts w:hint="default"/>
                      <w:sz w:val="21"/>
                      <w:szCs w:val="21"/>
                    </w:rPr>
                    <w:t>资源</w:t>
                  </w:r>
                </w:p>
              </w:tc>
              <w:tc>
                <w:tcPr>
                  <w:tcW w:w="2858" w:type="pct"/>
                  <w:vAlign w:val="center"/>
                </w:tcPr>
                <w:p>
                  <w:pPr>
                    <w:autoSpaceDE w:val="0"/>
                    <w:autoSpaceDN w:val="0"/>
                    <w:adjustRightInd w:val="0"/>
                    <w:spacing w:line="400" w:lineRule="exact"/>
                    <w:ind w:firstLine="420" w:firstLineChars="200"/>
                    <w:jc w:val="left"/>
                    <w:rPr>
                      <w:rFonts w:hint="default"/>
                      <w:sz w:val="21"/>
                      <w:szCs w:val="21"/>
                      <w:lang w:val="zh-CN"/>
                    </w:rPr>
                  </w:pPr>
                  <w:r>
                    <w:rPr>
                      <w:rFonts w:hint="default"/>
                      <w:sz w:val="21"/>
                      <w:szCs w:val="21"/>
                      <w:lang w:val="zh-CN"/>
                    </w:rPr>
                    <w:t>根据可研资料本风电场内1#测风塔120m、100m、70m、40m、10m高度年平均风速分别为5.32m/s、5.25m/s、4.91m/s、4.29m/s、2.89m/s,相应的风功率密度分别为187.26W/m2、174.21W/m2、135.04W/m2、88.38W/m2、28.76W/m2。综上所述，拟建场区具有较好的开发价值，适合建设风电场。</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continue"/>
                  <w:vAlign w:val="center"/>
                </w:tcPr>
                <w:p>
                  <w:pPr>
                    <w:jc w:val="center"/>
                    <w:rPr>
                      <w:rFonts w:hint="default"/>
                      <w:sz w:val="21"/>
                      <w:szCs w:val="21"/>
                    </w:rPr>
                  </w:pPr>
                </w:p>
              </w:tc>
              <w:tc>
                <w:tcPr>
                  <w:tcW w:w="789" w:type="pct"/>
                  <w:vMerge w:val="continue"/>
                  <w:vAlign w:val="center"/>
                </w:tcPr>
                <w:p>
                  <w:pPr>
                    <w:jc w:val="center"/>
                    <w:rPr>
                      <w:rFonts w:hint="default"/>
                      <w:sz w:val="21"/>
                      <w:szCs w:val="21"/>
                    </w:rPr>
                  </w:pPr>
                </w:p>
              </w:tc>
              <w:tc>
                <w:tcPr>
                  <w:tcW w:w="728" w:type="pct"/>
                  <w:gridSpan w:val="2"/>
                  <w:vAlign w:val="center"/>
                </w:tcPr>
                <w:p>
                  <w:pPr>
                    <w:jc w:val="center"/>
                    <w:rPr>
                      <w:rFonts w:hint="default"/>
                      <w:sz w:val="21"/>
                      <w:szCs w:val="21"/>
                    </w:rPr>
                  </w:pPr>
                  <w:r>
                    <w:rPr>
                      <w:rFonts w:hint="default"/>
                      <w:sz w:val="21"/>
                      <w:szCs w:val="21"/>
                    </w:rPr>
                    <w:t>建设</w:t>
                  </w:r>
                </w:p>
                <w:p>
                  <w:pPr>
                    <w:jc w:val="center"/>
                    <w:rPr>
                      <w:rFonts w:hint="default"/>
                      <w:sz w:val="21"/>
                      <w:szCs w:val="21"/>
                    </w:rPr>
                  </w:pPr>
                  <w:r>
                    <w:rPr>
                      <w:rFonts w:hint="default"/>
                      <w:sz w:val="21"/>
                      <w:szCs w:val="21"/>
                    </w:rPr>
                    <w:t>条件</w:t>
                  </w:r>
                </w:p>
              </w:tc>
              <w:tc>
                <w:tcPr>
                  <w:tcW w:w="2858" w:type="pct"/>
                  <w:vAlign w:val="center"/>
                </w:tcPr>
                <w:p>
                  <w:pPr>
                    <w:autoSpaceDE w:val="0"/>
                    <w:autoSpaceDN w:val="0"/>
                    <w:adjustRightInd w:val="0"/>
                    <w:spacing w:line="400" w:lineRule="exact"/>
                    <w:ind w:firstLine="420" w:firstLineChars="200"/>
                    <w:jc w:val="left"/>
                    <w:rPr>
                      <w:rFonts w:hint="default"/>
                      <w:sz w:val="21"/>
                      <w:szCs w:val="21"/>
                      <w:lang w:val="zh-CN"/>
                    </w:rPr>
                  </w:pPr>
                  <w:r>
                    <w:rPr>
                      <w:rFonts w:hint="default"/>
                      <w:sz w:val="21"/>
                      <w:szCs w:val="21"/>
                      <w:lang w:val="zh-CN"/>
                    </w:rPr>
                    <w:t>项目位于渭南市大荔县范家镇、两宜镇，场地地貌单元主要为平原地形，进场道路及部分场内道路均可利用周边已建成的道路及村道，交通比较便利。</w:t>
                  </w:r>
                </w:p>
              </w:tc>
              <w:tc>
                <w:tcPr>
                  <w:tcW w:w="375" w:type="pct"/>
                  <w:vAlign w:val="center"/>
                </w:tcPr>
                <w:p>
                  <w:pPr>
                    <w:jc w:val="center"/>
                    <w:rPr>
                      <w:rFonts w:hint="default"/>
                      <w:sz w:val="21"/>
                      <w:szCs w:val="21"/>
                    </w:rPr>
                  </w:pPr>
                  <w:r>
                    <w:rPr>
                      <w:rFonts w:hint="default"/>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continue"/>
                  <w:vAlign w:val="center"/>
                </w:tcPr>
                <w:p>
                  <w:pPr>
                    <w:jc w:val="center"/>
                    <w:rPr>
                      <w:rFonts w:hint="default"/>
                      <w:sz w:val="21"/>
                      <w:szCs w:val="21"/>
                    </w:rPr>
                  </w:pPr>
                </w:p>
              </w:tc>
              <w:tc>
                <w:tcPr>
                  <w:tcW w:w="789" w:type="pct"/>
                  <w:vMerge w:val="continue"/>
                  <w:vAlign w:val="center"/>
                </w:tcPr>
                <w:p>
                  <w:pPr>
                    <w:jc w:val="center"/>
                    <w:rPr>
                      <w:rFonts w:hint="default"/>
                      <w:sz w:val="21"/>
                      <w:szCs w:val="21"/>
                    </w:rPr>
                  </w:pPr>
                </w:p>
              </w:tc>
              <w:tc>
                <w:tcPr>
                  <w:tcW w:w="728" w:type="pct"/>
                  <w:gridSpan w:val="2"/>
                  <w:vAlign w:val="center"/>
                </w:tcPr>
                <w:p>
                  <w:pPr>
                    <w:jc w:val="center"/>
                    <w:rPr>
                      <w:rFonts w:hint="eastAsia"/>
                      <w:sz w:val="21"/>
                      <w:szCs w:val="21"/>
                      <w:highlight w:val="none"/>
                      <w:lang w:val="en-US" w:eastAsia="zh-CN"/>
                    </w:rPr>
                  </w:pPr>
                  <w:r>
                    <w:rPr>
                      <w:rFonts w:hint="eastAsia"/>
                      <w:sz w:val="21"/>
                      <w:szCs w:val="21"/>
                      <w:highlight w:val="none"/>
                      <w:lang w:val="en-US" w:eastAsia="zh-CN"/>
                    </w:rPr>
                    <w:t>土地</w:t>
                  </w:r>
                </w:p>
                <w:p>
                  <w:pPr>
                    <w:jc w:val="center"/>
                    <w:rPr>
                      <w:rFonts w:hint="default"/>
                      <w:sz w:val="21"/>
                      <w:szCs w:val="21"/>
                      <w:highlight w:val="none"/>
                      <w:lang w:val="en-US" w:eastAsia="zh-CN"/>
                    </w:rPr>
                  </w:pPr>
                  <w:r>
                    <w:rPr>
                      <w:rFonts w:hint="eastAsia"/>
                      <w:sz w:val="21"/>
                      <w:szCs w:val="21"/>
                      <w:highlight w:val="none"/>
                      <w:lang w:val="en-US" w:eastAsia="zh-CN"/>
                    </w:rPr>
                    <w:t>性质</w:t>
                  </w:r>
                </w:p>
              </w:tc>
              <w:tc>
                <w:tcPr>
                  <w:tcW w:w="2858" w:type="pct"/>
                  <w:vAlign w:val="center"/>
                </w:tcPr>
                <w:p>
                  <w:pPr>
                    <w:autoSpaceDE w:val="0"/>
                    <w:autoSpaceDN w:val="0"/>
                    <w:adjustRightInd w:val="0"/>
                    <w:spacing w:line="400" w:lineRule="exact"/>
                    <w:ind w:firstLine="420" w:firstLineChars="200"/>
                    <w:jc w:val="left"/>
                    <w:rPr>
                      <w:rFonts w:hint="default"/>
                      <w:sz w:val="21"/>
                      <w:szCs w:val="21"/>
                      <w:highlight w:val="none"/>
                      <w:lang w:val="en-US"/>
                    </w:rPr>
                  </w:pPr>
                  <w:r>
                    <w:rPr>
                      <w:rFonts w:hint="eastAsia"/>
                      <w:sz w:val="21"/>
                      <w:szCs w:val="21"/>
                      <w:highlight w:val="none"/>
                      <w:lang w:val="en-US" w:eastAsia="zh-CN"/>
                    </w:rPr>
                    <w:t>根据大荔县自然资源局关于国顺新能源渭南市大荔县范家两宜分散式风电项目选址的初审意见，荔自然资函[2019]70号，项目选址拟用地均为一般农用地。（见附件6）</w:t>
                  </w:r>
                </w:p>
              </w:tc>
              <w:tc>
                <w:tcPr>
                  <w:tcW w:w="375" w:type="pct"/>
                  <w:vAlign w:val="center"/>
                </w:tcPr>
                <w:p>
                  <w:pPr>
                    <w:jc w:val="center"/>
                    <w:rPr>
                      <w:rFonts w:hint="eastAsia"/>
                      <w:sz w:val="21"/>
                      <w:szCs w:val="21"/>
                      <w:highlight w:val="none"/>
                      <w:lang w:val="en-US" w:eastAsia="zh-CN"/>
                    </w:rPr>
                  </w:pPr>
                  <w:r>
                    <w:rPr>
                      <w:rFonts w:hint="eastAsia"/>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48" w:type="pct"/>
                  <w:vMerge w:val="continue"/>
                  <w:vAlign w:val="center"/>
                </w:tcPr>
                <w:p>
                  <w:pPr>
                    <w:jc w:val="center"/>
                    <w:rPr>
                      <w:rFonts w:hint="default"/>
                      <w:sz w:val="21"/>
                      <w:szCs w:val="21"/>
                    </w:rPr>
                  </w:pPr>
                </w:p>
              </w:tc>
              <w:tc>
                <w:tcPr>
                  <w:tcW w:w="789" w:type="pct"/>
                  <w:vMerge w:val="continue"/>
                  <w:vAlign w:val="center"/>
                </w:tcPr>
                <w:p>
                  <w:pPr>
                    <w:jc w:val="center"/>
                    <w:rPr>
                      <w:rFonts w:hint="default"/>
                      <w:sz w:val="21"/>
                      <w:szCs w:val="21"/>
                    </w:rPr>
                  </w:pPr>
                </w:p>
              </w:tc>
              <w:tc>
                <w:tcPr>
                  <w:tcW w:w="728" w:type="pct"/>
                  <w:gridSpan w:val="2"/>
                  <w:vAlign w:val="center"/>
                </w:tcPr>
                <w:p>
                  <w:pPr>
                    <w:jc w:val="center"/>
                    <w:rPr>
                      <w:rFonts w:hint="default"/>
                      <w:sz w:val="21"/>
                      <w:szCs w:val="21"/>
                      <w:highlight w:val="none"/>
                    </w:rPr>
                  </w:pPr>
                  <w:r>
                    <w:rPr>
                      <w:rFonts w:hint="default"/>
                      <w:sz w:val="21"/>
                      <w:szCs w:val="21"/>
                      <w:highlight w:val="none"/>
                    </w:rPr>
                    <w:t>周边</w:t>
                  </w:r>
                </w:p>
                <w:p>
                  <w:pPr>
                    <w:jc w:val="center"/>
                    <w:rPr>
                      <w:rFonts w:hint="default"/>
                      <w:sz w:val="21"/>
                      <w:szCs w:val="21"/>
                      <w:highlight w:val="none"/>
                    </w:rPr>
                  </w:pPr>
                  <w:r>
                    <w:rPr>
                      <w:rFonts w:hint="default"/>
                      <w:sz w:val="21"/>
                      <w:szCs w:val="21"/>
                      <w:highlight w:val="none"/>
                    </w:rPr>
                    <w:t>环境</w:t>
                  </w:r>
                </w:p>
              </w:tc>
              <w:tc>
                <w:tcPr>
                  <w:tcW w:w="2858" w:type="pct"/>
                  <w:vAlign w:val="center"/>
                </w:tcPr>
                <w:p>
                  <w:pPr>
                    <w:autoSpaceDE w:val="0"/>
                    <w:autoSpaceDN w:val="0"/>
                    <w:adjustRightInd w:val="0"/>
                    <w:spacing w:line="400" w:lineRule="exact"/>
                    <w:ind w:firstLine="420" w:firstLineChars="200"/>
                    <w:jc w:val="left"/>
                    <w:rPr>
                      <w:rFonts w:hint="default"/>
                      <w:sz w:val="21"/>
                      <w:szCs w:val="21"/>
                      <w:highlight w:val="none"/>
                      <w:lang w:val="en-US" w:eastAsia="zh-CN"/>
                    </w:rPr>
                  </w:pPr>
                  <w:r>
                    <w:rPr>
                      <w:rFonts w:hint="default"/>
                      <w:sz w:val="21"/>
                      <w:szCs w:val="21"/>
                      <w:highlight w:val="none"/>
                      <w:lang w:val="zh-CN"/>
                    </w:rPr>
                    <w:t>本项目拟建设12台风力发电机组，各发电机组200m范围内无村庄，不在自然保护区、风景名胜区、水源地保护区、文物保护区、林地及国家限制的采矿区域，场址周围无军用设施，地下无文物，符合选址要求。</w:t>
                  </w:r>
                  <w:r>
                    <w:rPr>
                      <w:rFonts w:hint="eastAsia"/>
                      <w:sz w:val="21"/>
                      <w:szCs w:val="21"/>
                      <w:highlight w:val="none"/>
                      <w:lang w:val="en-US" w:eastAsia="zh-CN"/>
                    </w:rPr>
                    <w:t>风场距离陕西省大荔县朝邑国家湿地公园13206.7m，距离陕西黄河湿地省级自然保护区（大荔段）432.7m。详见附图十一。</w:t>
                  </w:r>
                </w:p>
                <w:p>
                  <w:pPr>
                    <w:autoSpaceDE w:val="0"/>
                    <w:autoSpaceDN w:val="0"/>
                    <w:adjustRightInd w:val="0"/>
                    <w:spacing w:line="400" w:lineRule="exact"/>
                    <w:ind w:firstLine="420" w:firstLineChars="200"/>
                    <w:jc w:val="left"/>
                    <w:rPr>
                      <w:rFonts w:hint="default"/>
                      <w:sz w:val="21"/>
                      <w:szCs w:val="21"/>
                      <w:highlight w:val="none"/>
                      <w:lang w:val="zh-CN"/>
                    </w:rPr>
                  </w:pPr>
                  <w:r>
                    <w:rPr>
                      <w:rFonts w:hint="default"/>
                      <w:sz w:val="21"/>
                      <w:szCs w:val="21"/>
                      <w:highlight w:val="none"/>
                      <w:lang w:val="zh-CN"/>
                    </w:rPr>
                    <w:t>项目运营期主要为噪声污染，经过距离衰减后对敏感点影响较小。</w:t>
                  </w:r>
                </w:p>
              </w:tc>
              <w:tc>
                <w:tcPr>
                  <w:tcW w:w="375" w:type="pct"/>
                  <w:vAlign w:val="center"/>
                </w:tcPr>
                <w:p>
                  <w:pPr>
                    <w:jc w:val="center"/>
                    <w:rPr>
                      <w:rFonts w:hint="default"/>
                      <w:sz w:val="21"/>
                      <w:szCs w:val="21"/>
                      <w:highlight w:val="none"/>
                    </w:rPr>
                  </w:pPr>
                  <w:r>
                    <w:rPr>
                      <w:rFonts w:hint="default"/>
                      <w:sz w:val="21"/>
                      <w:szCs w:val="21"/>
                      <w:highlight w:val="none"/>
                    </w:rPr>
                    <w:t>符合</w:t>
                  </w:r>
                </w:p>
              </w:tc>
            </w:tr>
          </w:tbl>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autoSpaceDE w:val="0"/>
              <w:autoSpaceDN w:val="0"/>
              <w:adjustRightInd w:val="0"/>
              <w:snapToGrid w:val="0"/>
              <w:rPr>
                <w:rFonts w:hint="eastAsia"/>
                <w:sz w:val="21"/>
                <w:szCs w:val="21"/>
                <w:lang w:eastAsia="zh-CN"/>
              </w:rPr>
            </w:pPr>
          </w:p>
          <w:p>
            <w:pPr>
              <w:pStyle w:val="2"/>
              <w:rPr>
                <w:rFonts w:hint="eastAsia"/>
                <w:sz w:val="21"/>
                <w:szCs w:val="21"/>
                <w:lang w:eastAsia="zh-CN"/>
              </w:rPr>
            </w:pPr>
          </w:p>
        </w:tc>
      </w:tr>
    </w:tbl>
    <w:p>
      <w:pPr>
        <w:ind w:left="0" w:leftChars="0" w:firstLine="0" w:firstLineChars="0"/>
        <w:jc w:val="center"/>
        <w:rPr>
          <w:rFonts w:hint="eastAsia" w:ascii="楷体_GB2312" w:eastAsia="楷体_GB2312"/>
          <w:sz w:val="21"/>
          <w:szCs w:val="21"/>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jc w:val="center"/>
        <w:outlineLvl w:val="0"/>
        <w:rPr>
          <w:rFonts w:hint="eastAsia" w:ascii="黑体" w:hAnsi="黑体" w:eastAsia="黑体" w:cs="Times New Roman"/>
          <w:snapToGrid w:val="0"/>
          <w:sz w:val="30"/>
          <w:szCs w:val="30"/>
        </w:rPr>
      </w:pPr>
      <w:r>
        <w:rPr>
          <w:rFonts w:hint="eastAsia" w:ascii="黑体" w:hAnsi="黑体" w:eastAsia="黑体" w:cs="Times New Roman"/>
          <w:snapToGrid w:val="0"/>
          <w:sz w:val="30"/>
          <w:szCs w:val="30"/>
        </w:rPr>
        <w:t>二、建设内容</w:t>
      </w:r>
    </w:p>
    <w:tbl>
      <w:tblPr>
        <w:tblStyle w:val="17"/>
        <w:tblW w:w="90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710"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地理位置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宋体" w:hAnsi="宋体" w:cs="宋体"/>
                <w:kern w:val="0"/>
                <w:sz w:val="21"/>
                <w:szCs w:val="21"/>
              </w:rPr>
            </w:pPr>
            <w:r>
              <w:rPr>
                <w:rFonts w:hint="default" w:ascii="Times New Roman" w:hAnsi="Times New Roman" w:eastAsia="宋体" w:cs="Times New Roman"/>
                <w:sz w:val="21"/>
                <w:szCs w:val="21"/>
              </w:rPr>
              <w:t>本项目地处于陕西省渭南市大荔县范家镇和两宜镇，风电场区域东经110° 06'18.7685"E～110°12'21.5955"E，北纬34°55'20.8729"N～34°58'19.4096"N。厂址海拔高度在352~462m，地貌为平原，场地较为开阔，地势起伏较小。拟建风场范围北侧有G5西禹高速通过，西侧有G108国道通过，南侧有X311县道通过。项目地理位置图见</w:t>
            </w:r>
            <w:r>
              <w:rPr>
                <w:rFonts w:hint="default" w:ascii="Times New Roman" w:hAnsi="Times New Roman" w:eastAsia="宋体" w:cs="Times New Roman"/>
                <w:sz w:val="21"/>
                <w:szCs w:val="21"/>
                <w:lang w:val="en-US" w:eastAsia="zh-CN"/>
              </w:rPr>
              <w:t>附图</w:t>
            </w:r>
            <w:r>
              <w:rPr>
                <w:rFonts w:hint="default" w:ascii="Times New Roman" w:hAnsi="Times New Roman" w:eastAsia="宋体" w:cs="Times New Roman"/>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项目组成及规模</w:t>
            </w:r>
          </w:p>
        </w:tc>
        <w:tc>
          <w:tcPr>
            <w:tcW w:w="8380" w:type="dxa"/>
            <w:noWrap w:val="0"/>
            <w:vAlign w:val="center"/>
          </w:tcPr>
          <w:p>
            <w:pPr>
              <w:numPr>
                <w:ilvl w:val="0"/>
                <w:numId w:val="0"/>
              </w:numPr>
              <w:adjustRightInd w:val="0"/>
              <w:snapToGrid w:val="0"/>
              <w:spacing w:line="360" w:lineRule="auto"/>
              <w:rPr>
                <w:rFonts w:hint="eastAsia" w:ascii="Times New Roman" w:hAnsi="Times New Roman" w:cs="Times New Roman"/>
                <w:b/>
                <w:bCs w:val="0"/>
                <w:color w:val="auto"/>
                <w:sz w:val="21"/>
                <w:szCs w:val="21"/>
                <w:lang w:val="en-US" w:eastAsia="zh-CN"/>
              </w:rPr>
            </w:pPr>
            <w:r>
              <w:rPr>
                <w:rFonts w:hint="eastAsia" w:ascii="Times New Roman" w:hAnsi="Times New Roman" w:cs="Times New Roman"/>
                <w:b/>
                <w:bCs w:val="0"/>
                <w:color w:val="auto"/>
                <w:sz w:val="21"/>
                <w:szCs w:val="21"/>
                <w:lang w:val="en-US" w:eastAsia="zh-CN"/>
              </w:rPr>
              <w:t>一、工程概况</w:t>
            </w:r>
          </w:p>
          <w:p>
            <w:pPr>
              <w:numPr>
                <w:ilvl w:val="0"/>
                <w:numId w:val="0"/>
              </w:numPr>
              <w:adjustRightInd w:val="0"/>
              <w:snapToGrid w:val="0"/>
              <w:spacing w:line="360" w:lineRule="auto"/>
              <w:ind w:firstLine="422" w:firstLineChars="200"/>
              <w:rPr>
                <w:rFonts w:hint="default" w:ascii="Times New Roman" w:hAnsi="Times New Roman" w:eastAsia="宋体" w:cs="Times New Roman"/>
                <w:b/>
                <w:bCs w:val="0"/>
                <w:color w:val="auto"/>
                <w:sz w:val="21"/>
                <w:szCs w:val="21"/>
                <w:lang w:eastAsia="zh-CN"/>
              </w:rPr>
            </w:pPr>
            <w:r>
              <w:rPr>
                <w:rFonts w:hint="default" w:ascii="Times New Roman" w:hAnsi="Times New Roman" w:eastAsia="宋体" w:cs="Times New Roman"/>
                <w:b/>
                <w:bCs w:val="0"/>
                <w:color w:val="auto"/>
                <w:sz w:val="21"/>
                <w:szCs w:val="21"/>
                <w:lang w:val="en-US" w:eastAsia="zh-CN"/>
              </w:rPr>
              <w:t>1、</w:t>
            </w:r>
            <w:r>
              <w:rPr>
                <w:rFonts w:hint="default" w:ascii="Times New Roman" w:hAnsi="Times New Roman" w:eastAsia="宋体" w:cs="Times New Roman"/>
                <w:b/>
                <w:bCs w:val="0"/>
                <w:color w:val="auto"/>
                <w:sz w:val="21"/>
                <w:szCs w:val="21"/>
                <w:lang w:eastAsia="zh-CN"/>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）项目名称：国顺新能源渭南市大荔县范家两宜分散式风电项目</w:t>
            </w:r>
          </w:p>
          <w:p>
            <w:pPr>
              <w:spacing w:line="360" w:lineRule="auto"/>
              <w:ind w:firstLine="420" w:firstLineChars="200"/>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（2）建设地点：陕西省渭南市大荔县范家镇和两宜镇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（3）建设单位：大荔县国顺新能源有限公司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（4）建设性质：新建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（5）项目总投资：</w:t>
            </w:r>
            <w:r>
              <w:rPr>
                <w:rFonts w:hint="eastAsia" w:ascii="Times New Roman" w:hAnsi="Times New Roman" w:eastAsia="宋体" w:cs="Times New Roman"/>
                <w:color w:val="auto"/>
                <w:sz w:val="21"/>
                <w:szCs w:val="21"/>
                <w:lang w:val="en-US" w:eastAsia="zh-CN"/>
              </w:rPr>
              <w:t>24000</w:t>
            </w:r>
            <w:r>
              <w:rPr>
                <w:rFonts w:hint="default" w:ascii="Times New Roman" w:hAnsi="Times New Roman" w:eastAsia="宋体" w:cs="Times New Roman"/>
                <w:color w:val="auto"/>
                <w:sz w:val="21"/>
                <w:szCs w:val="21"/>
                <w:lang w:val="en-US" w:eastAsia="zh-CN"/>
              </w:rPr>
              <w:t>万元</w:t>
            </w:r>
          </w:p>
          <w:p>
            <w:pPr>
              <w:numPr>
                <w:ilvl w:val="0"/>
                <w:numId w:val="0"/>
              </w:numPr>
              <w:spacing w:line="360" w:lineRule="auto"/>
              <w:ind w:firstLine="422" w:firstLineChars="200"/>
              <w:rPr>
                <w:rFonts w:hint="default" w:ascii="Times New Roman" w:hAnsi="Times New Roman" w:cs="Times New Roman"/>
                <w:b/>
                <w:color w:val="auto"/>
                <w:sz w:val="21"/>
                <w:szCs w:val="21"/>
              </w:rPr>
            </w:pPr>
            <w:r>
              <w:rPr>
                <w:rFonts w:hint="eastAsia" w:cs="Times New Roman"/>
                <w:b/>
                <w:color w:val="auto"/>
                <w:sz w:val="21"/>
                <w:szCs w:val="21"/>
                <w:lang w:val="en-US" w:eastAsia="zh-CN"/>
              </w:rPr>
              <w:t>2、</w:t>
            </w:r>
            <w:r>
              <w:rPr>
                <w:rFonts w:hint="default" w:ascii="Times New Roman" w:hAnsi="Times New Roman" w:cs="Times New Roman"/>
                <w:b/>
                <w:color w:val="auto"/>
                <w:sz w:val="21"/>
                <w:szCs w:val="21"/>
              </w:rPr>
              <w:t>建设内容与规模</w:t>
            </w:r>
          </w:p>
          <w:p>
            <w:pPr>
              <w:widowControl/>
              <w:snapToGrid w:val="0"/>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本项目主要建设内容包括：12台单机机容量2500kW，轮毂高度95m，叶轮直径147m的WTG4/2500机型的风力发电机、箱式变电站、集电线路、35kV开关站一座及其配套工程。</w:t>
            </w:r>
          </w:p>
          <w:p>
            <w:pPr>
              <w:widowControl/>
              <w:snapToGrid w:val="0"/>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（1）风电机组</w:t>
            </w:r>
          </w:p>
          <w:p>
            <w:pPr>
              <w:widowControl/>
              <w:snapToGrid w:val="0"/>
              <w:spacing w:line="360" w:lineRule="auto"/>
              <w:ind w:firstLine="420" w:firstLineChars="200"/>
              <w:jc w:val="left"/>
              <w:rPr>
                <w:rFonts w:hint="eastAsia"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bidi="ar"/>
              </w:rPr>
              <w:t>本工程安装12台单机机容量2500kW，轮毂高度95m，叶轮直径147m的WTG4/2500机型的风力发电机。风机基础采用钢筋混凝土圆形承台钻孔扩底灌注桩基础。风机基础尺寸一览表见表</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w:t>
            </w:r>
            <w:r>
              <w:rPr>
                <w:rFonts w:hint="eastAsia" w:ascii="Times New Roman" w:hAnsi="Times New Roman" w:cs="Times New Roman"/>
                <w:color w:val="000000"/>
                <w:kern w:val="0"/>
                <w:sz w:val="21"/>
                <w:szCs w:val="21"/>
                <w:lang w:val="en-US" w:eastAsia="zh-CN" w:bidi="ar"/>
              </w:rPr>
              <w:t>1</w:t>
            </w:r>
            <w:r>
              <w:rPr>
                <w:rFonts w:hint="default"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风机基础图见附图6</w:t>
            </w:r>
            <w:r>
              <w:rPr>
                <w:rFonts w:hint="eastAsia" w:ascii="Times New Roman" w:hAnsi="Times New Roman" w:eastAsia="宋体" w:cs="Times New Roman"/>
                <w:color w:val="000000"/>
                <w:kern w:val="0"/>
                <w:sz w:val="21"/>
                <w:szCs w:val="21"/>
                <w:lang w:eastAsia="zh-CN" w:bidi="ar"/>
              </w:rPr>
              <w:t>）</w:t>
            </w:r>
          </w:p>
          <w:p>
            <w:pPr>
              <w:widowControl/>
              <w:ind w:firstLine="422" w:firstLineChars="20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表</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bidi="ar"/>
              </w:rPr>
              <w:t>-</w:t>
            </w:r>
            <w:r>
              <w:rPr>
                <w:rFonts w:hint="eastAsia" w:ascii="Times New Roman" w:hAnsi="Times New Roman" w:cs="Times New Roman"/>
                <w:b/>
                <w:bCs/>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bidi="ar"/>
              </w:rPr>
              <w:t xml:space="preserve">  基础尺寸一览表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451"/>
              <w:gridCol w:w="654"/>
              <w:gridCol w:w="1707"/>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3" w:type="pct"/>
                  <w:vAlign w:val="center"/>
                </w:tcPr>
                <w:p>
                  <w:pPr>
                    <w:widowControl/>
                    <w:snapToGrid w:val="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序号</w:t>
                  </w:r>
                </w:p>
              </w:tc>
              <w:tc>
                <w:tcPr>
                  <w:tcW w:w="2116" w:type="pct"/>
                  <w:vAlign w:val="center"/>
                </w:tcPr>
                <w:p>
                  <w:pPr>
                    <w:widowControl/>
                    <w:snapToGrid w:val="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尺寸部位</w:t>
                  </w:r>
                </w:p>
              </w:tc>
              <w:tc>
                <w:tcPr>
                  <w:tcW w:w="401" w:type="pct"/>
                  <w:vAlign w:val="center"/>
                </w:tcPr>
                <w:p>
                  <w:pPr>
                    <w:widowControl/>
                    <w:snapToGrid w:val="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单位</w:t>
                  </w:r>
                </w:p>
              </w:tc>
              <w:tc>
                <w:tcPr>
                  <w:tcW w:w="1047" w:type="pct"/>
                  <w:vAlign w:val="center"/>
                </w:tcPr>
                <w:p>
                  <w:pPr>
                    <w:widowControl/>
                    <w:snapToGrid w:val="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外形尺寸</w:t>
                  </w:r>
                </w:p>
              </w:tc>
              <w:tc>
                <w:tcPr>
                  <w:tcW w:w="971" w:type="pct"/>
                  <w:vAlign w:val="center"/>
                </w:tcPr>
                <w:p>
                  <w:pPr>
                    <w:widowControl/>
                    <w:snapToGrid w:val="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特征描述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承台底板直径</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17.6</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承台底板边缘高</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1.1</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承台圆台高度</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1.0</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圆台形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承台圆台顶直径</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6.4</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圆台形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台柱直径</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6.4</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台柱高度</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1.0</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灌注桩直径/扩底</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0.8/1.6</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w:t>
                  </w:r>
                </w:p>
              </w:tc>
              <w:tc>
                <w:tcPr>
                  <w:tcW w:w="2116"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灌注桩有效桩长</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1047" w:type="pct"/>
                  <w:vAlign w:val="center"/>
                </w:tcPr>
                <w:p>
                  <w:pPr>
                    <w:widowControl/>
                    <w:snapToGrid w:val="0"/>
                    <w:spacing w:line="400" w:lineRule="exact"/>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24</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扩底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63"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w:t>
                  </w:r>
                </w:p>
              </w:tc>
              <w:tc>
                <w:tcPr>
                  <w:tcW w:w="2116"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灌注桩数量</w:t>
                  </w:r>
                </w:p>
              </w:tc>
              <w:tc>
                <w:tcPr>
                  <w:tcW w:w="40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个</w:t>
                  </w:r>
                </w:p>
              </w:tc>
              <w:tc>
                <w:tcPr>
                  <w:tcW w:w="1047"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lang w:val="zh-CN"/>
                    </w:rPr>
                    <w:t>20（内4/外16）</w:t>
                  </w:r>
                </w:p>
              </w:tc>
              <w:tc>
                <w:tcPr>
                  <w:tcW w:w="971" w:type="pct"/>
                  <w:vAlign w:val="center"/>
                </w:tcPr>
                <w:p>
                  <w:pPr>
                    <w:widowControl/>
                    <w:snapToGrid w:val="0"/>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两圈布置</w:t>
                  </w:r>
                </w:p>
              </w:tc>
            </w:tr>
          </w:tbl>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（2）箱式变电站</w:t>
            </w:r>
          </w:p>
          <w:p>
            <w:pPr>
              <w:widowControl/>
              <w:spacing w:line="360" w:lineRule="auto"/>
              <w:ind w:firstLine="420" w:firstLineChars="200"/>
              <w:jc w:val="left"/>
              <w:rPr>
                <w:rFonts w:hint="eastAsia"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lang w:bidi="ar"/>
              </w:rPr>
              <w:t>风电机组与箱式变电站组合方式为一机一变方案，即每台风机设一座箱式变电站。本项目共设置12台油浸式箱式变压器，型号YBW11-F-2750/35，37/0.69kV。箱式变电站容量为2750kVA，箱式变电站基础为C30混凝土基础，其中埋深1.80m，地上0.5m，箱式变均直接搁置在钢筋混凝土基础上，箱式变电站基础与电力电缆沟相连。箱变基础周围设置储存100%油量的储油坑，容积为2.5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w:t>
            </w: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箱变基础图见附图7</w:t>
            </w:r>
            <w:r>
              <w:rPr>
                <w:rFonts w:hint="eastAsia" w:ascii="Times New Roman" w:hAnsi="Times New Roman" w:eastAsia="宋体" w:cs="Times New Roman"/>
                <w:color w:val="000000"/>
                <w:kern w:val="0"/>
                <w:sz w:val="21"/>
                <w:szCs w:val="21"/>
                <w:lang w:eastAsia="zh-CN" w:bidi="ar"/>
              </w:rPr>
              <w:t>）</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（3）35KV开关站</w:t>
            </w:r>
          </w:p>
          <w:p>
            <w:pPr>
              <w:widowControl/>
              <w:spacing w:line="360" w:lineRule="auto"/>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本项目设置35kV开关站，占地面积为3000m</w:t>
            </w:r>
            <w:r>
              <w:rPr>
                <w:rFonts w:hint="default" w:ascii="Times New Roman" w:hAnsi="Times New Roman" w:eastAsia="宋体" w:cs="Times New Roman"/>
                <w:color w:val="000000"/>
                <w:kern w:val="0"/>
                <w:sz w:val="21"/>
                <w:szCs w:val="21"/>
                <w:vertAlign w:val="superscript"/>
                <w:lang w:bidi="ar"/>
              </w:rPr>
              <w:t>2</w:t>
            </w:r>
            <w:r>
              <w:rPr>
                <w:rFonts w:hint="default" w:ascii="Times New Roman" w:hAnsi="Times New Roman" w:eastAsia="宋体" w:cs="Times New Roman"/>
                <w:color w:val="000000"/>
                <w:kern w:val="0"/>
                <w:sz w:val="21"/>
                <w:szCs w:val="21"/>
                <w:lang w:bidi="ar"/>
              </w:rPr>
              <w:t>，主要建设综合配电间、接地电阻成套装置、SVG变压器基础及油池、30米独立避雷针、化粪池、地埋式一体化污水处理设备、危废暂存间、水泵房及消防水池。35kV开关站平面布置见附图</w:t>
            </w:r>
            <w:r>
              <w:rPr>
                <w:rFonts w:hint="eastAsia" w:ascii="Times New Roman" w:hAnsi="Times New Roman" w:eastAsia="宋体"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bidi="ar"/>
              </w:rPr>
              <w:t>。</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（4）35KV架空输电线路</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根据风机分布情况，</w:t>
            </w:r>
            <w:r>
              <w:rPr>
                <w:rFonts w:hint="eastAsia" w:ascii="Times New Roman" w:hAnsi="Times New Roman" w:eastAsia="宋体" w:cs="Times New Roman"/>
                <w:color w:val="000000"/>
                <w:kern w:val="0"/>
                <w:sz w:val="21"/>
                <w:szCs w:val="21"/>
                <w:lang w:val="en-US" w:eastAsia="zh-CN" w:bidi="ar"/>
              </w:rPr>
              <w:t>风电场集电线路按汇流干线方式。每台箱式变的高压侧均用一根电力电缆引接至临近的35kV架空输电线路上，35kV 架空线路将电能输送至本风电场中的35kV开关站围墙外终端塔，再采用一根电力电缆引接至开关站35kV开关柜。</w:t>
            </w:r>
            <w:r>
              <w:rPr>
                <w:rFonts w:hint="default" w:ascii="Times New Roman" w:hAnsi="Times New Roman" w:eastAsia="宋体" w:cs="Times New Roman"/>
                <w:color w:val="000000"/>
                <w:kern w:val="0"/>
                <w:sz w:val="21"/>
                <w:szCs w:val="21"/>
                <w:lang w:bidi="ar"/>
              </w:rPr>
              <w:t>线路起于各风机箱变，止于新建35KV开关站。线路全长17.85km。</w:t>
            </w: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集电线路图见附图5</w:t>
            </w:r>
            <w:r>
              <w:rPr>
                <w:rFonts w:hint="eastAsia" w:ascii="Times New Roman" w:hAnsi="Times New Roman" w:eastAsia="宋体" w:cs="Times New Roman"/>
                <w:color w:val="000000"/>
                <w:kern w:val="0"/>
                <w:sz w:val="21"/>
                <w:szCs w:val="21"/>
                <w:lang w:eastAsia="zh-CN" w:bidi="ar"/>
              </w:rPr>
              <w:t>）</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（5）直埋电缆沟</w:t>
            </w:r>
          </w:p>
          <w:p>
            <w:pPr>
              <w:widowControl/>
              <w:spacing w:line="360" w:lineRule="auto"/>
              <w:ind w:firstLine="420" w:firstLineChars="200"/>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风电机组与箱式变电站之间采用0.6/1kV低压电缆直埋敷设连接。经计算，发电机组与箱式变之间的相线选用8根ZRC-YJV22-3×240 mm</w:t>
            </w:r>
            <w:r>
              <w:rPr>
                <w:rFonts w:hint="default" w:ascii="Times New Roman" w:hAnsi="Times New Roman" w:eastAsia="宋体" w:cs="Times New Roman"/>
                <w:color w:val="000000"/>
                <w:kern w:val="0"/>
                <w:sz w:val="21"/>
                <w:szCs w:val="21"/>
                <w:vertAlign w:val="superscript"/>
                <w:lang w:bidi="ar"/>
              </w:rPr>
              <w:t>2</w:t>
            </w:r>
            <w:r>
              <w:rPr>
                <w:rFonts w:hint="default" w:ascii="Times New Roman" w:hAnsi="Times New Roman" w:eastAsia="宋体" w:cs="Times New Roman"/>
                <w:color w:val="000000"/>
                <w:kern w:val="0"/>
                <w:sz w:val="21"/>
                <w:szCs w:val="21"/>
                <w:lang w:bidi="ar"/>
              </w:rPr>
              <w:t>加4根ZRC-YJV63-1×240mm</w:t>
            </w:r>
            <w:r>
              <w:rPr>
                <w:rFonts w:hint="default" w:ascii="Times New Roman" w:hAnsi="Times New Roman" w:eastAsia="宋体" w:cs="Times New Roman"/>
                <w:color w:val="000000"/>
                <w:kern w:val="0"/>
                <w:sz w:val="21"/>
                <w:szCs w:val="21"/>
                <w:vertAlign w:val="superscript"/>
                <w:lang w:bidi="ar"/>
              </w:rPr>
              <w:t>2</w:t>
            </w:r>
            <w:r>
              <w:rPr>
                <w:rFonts w:hint="default" w:ascii="Times New Roman" w:hAnsi="Times New Roman" w:eastAsia="宋体" w:cs="Times New Roman"/>
                <w:color w:val="000000"/>
                <w:kern w:val="0"/>
                <w:sz w:val="21"/>
                <w:szCs w:val="21"/>
                <w:lang w:bidi="ar"/>
              </w:rPr>
              <w:t>电力电缆并联连接，电缆穿过风电机组基础时，采用穿预埋管敷设。直埋电缆长度约0.45km。</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35kV开关站内电缆沟拟采用混凝土电缆沟，进站区域设置0.8×1.0m钢筋混凝土电缆沟，电缆沟沟壁高出设计地面0.10m。沟道纵向坡度不小于3‰。所有电缆沟盖板均采用预制钢筋混凝土盖板，站内电缆沟的长度为50m。</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（6）项目道路设置</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进场道路：本项目部分风电机组大件设备通过G108国道与X311县道进入风场，通过新建及改建村道、乡道转至风场内部。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厂内道路：厂内道路为风电场新建及改建道路。本次风电新建道路1.9km，扩建道路20.7km，其中拓宽土路9.3km，拓宽水泥路11.4km。场内道路路基宽5m，路面宽4m，采用3cm厚磨耗层，18cm厚泥结碎石路面结构，最小转弯半径为30m。施工完成后仅保留4m宽检修道路，其余部分复垦。</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（7）项目组成</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本项目组成见表</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w:t>
            </w:r>
          </w:p>
          <w:p>
            <w:pPr>
              <w:widowControl/>
              <w:ind w:firstLine="422" w:firstLineChars="20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表</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bidi="ar"/>
              </w:rPr>
              <w:t>-</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bidi="ar"/>
              </w:rPr>
              <w:t xml:space="preserve">  项目组成表及主要建设内容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426"/>
              <w:gridCol w:w="934"/>
              <w:gridCol w:w="6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内容</w:t>
                  </w:r>
                </w:p>
              </w:tc>
              <w:tc>
                <w:tcPr>
                  <w:tcW w:w="8569" w:type="dxa"/>
                  <w:gridSpan w:val="3"/>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工程</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规模</w:t>
                  </w:r>
                </w:p>
              </w:tc>
              <w:tc>
                <w:tcPr>
                  <w:tcW w:w="8569" w:type="dxa"/>
                  <w:gridSpan w:val="3"/>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总装机容量30MV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主体</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工程</w:t>
                  </w: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风场范围</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风电场规划面积40km</w:t>
                  </w:r>
                  <w:r>
                    <w:rPr>
                      <w:rFonts w:hint="default" w:ascii="Times New Roman" w:hAnsi="Times New Roman" w:eastAsia="宋体" w:cs="Times New Roman"/>
                      <w:color w:val="000000"/>
                      <w:kern w:val="0"/>
                      <w:sz w:val="21"/>
                      <w:szCs w:val="21"/>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工程规模</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总装机容量30MV，年发电量71614.32MW·h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风电机组</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本工程安装12台单机机容量2500kW，轮毂高度95m，叶轮直径147m的WTG4/2500机型的风力发电机。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箱式变压器</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本项目共设置12台油浸式箱式变压器，型号YBW11-F-2750/35，37/0.69kV。箱式变电站容量为2750kVA，采用一机一变电器接线方案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35KV开关站</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开关站占地3000m</w:t>
                  </w:r>
                  <w:r>
                    <w:rPr>
                      <w:rFonts w:hint="default" w:ascii="Times New Roman" w:hAnsi="Times New Roman" w:eastAsia="宋体" w:cs="Times New Roman"/>
                      <w:color w:val="000000"/>
                      <w:kern w:val="0"/>
                      <w:sz w:val="21"/>
                      <w:szCs w:val="21"/>
                      <w:vertAlign w:val="superscript"/>
                      <w:lang w:bidi="ar"/>
                    </w:rPr>
                    <w:t>2</w:t>
                  </w:r>
                  <w:r>
                    <w:rPr>
                      <w:rFonts w:hint="default" w:ascii="Times New Roman" w:hAnsi="Times New Roman" w:eastAsia="宋体" w:cs="Times New Roman"/>
                      <w:color w:val="000000"/>
                      <w:kern w:val="0"/>
                      <w:sz w:val="21"/>
                      <w:szCs w:val="21"/>
                      <w:lang w:bidi="ar"/>
                    </w:rPr>
                    <w:t>，主要建设综合配电间、接地电阻成套装置、SVG变压器基础及油池、30米独立避雷针、化粪池、地埋式一体化污水处理设备、危废暂存间、水泵房及消防水池。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进场道路</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本项目部分风电机组大件设备通过G108国道与X311县道进入风场，通过新建及改建村道、乡道转至风场内部。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厂内道路</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厂内道路为风电场新建及改建道路。本次风电新建道路1.9km，扩建道路20.7km，其中拓宽土路9.3km，拓宽水泥路11.4km。场内道路路基宽5m，路面宽4m，采用3cm厚磨耗层，18cm厚泥结碎石路面结构，最小转弯半径为30m。施工完成后仅保留4m宽检修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辅助工程</w:t>
                  </w: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输电线路</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根据风机分布情况，对12台风机进行了分组，共设计有1回35kV集电线路，集电线路分别连接12台箱式变，容量为30MV。线路起于各风机箱变，止于新建35KV开关站。35KV线路由各风机箱变电缆出线，至电缆终端塔后架空至35KV开关站，电缆进35KV配电室线路全长17.85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电气出线</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以1回35kV线路架空接至两宜110kV变电站。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接地网</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在每台风力发电机基础与箱式变基础周围铺设人工接地网，接地装置采用接地扁管和钢管。一台风机与一台箱式变共同组成一个独立接地网。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杆塔</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全线使用铁塔共58基，其中直线塔36基，转角及终端塔22基。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公用工程</w:t>
                  </w: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供水</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fldChar w:fldCharType="begin"/>
                  </w:r>
                  <w:r>
                    <w:rPr>
                      <w:rFonts w:hint="default" w:ascii="Times New Roman" w:hAnsi="Times New Roman" w:eastAsia="宋体" w:cs="Times New Roman"/>
                      <w:color w:val="000000"/>
                      <w:kern w:val="0"/>
                      <w:sz w:val="21"/>
                      <w:szCs w:val="21"/>
                      <w:lang w:bidi="ar"/>
                    </w:rPr>
                    <w:instrText xml:space="preserve"> = 1 \* GB3 \* MERGEFORMAT </w:instrText>
                  </w:r>
                  <w:r>
                    <w:rPr>
                      <w:rFonts w:hint="default" w:ascii="Times New Roman" w:hAnsi="Times New Roman" w:eastAsia="宋体" w:cs="Times New Roman"/>
                      <w:color w:val="000000"/>
                      <w:kern w:val="0"/>
                      <w:sz w:val="21"/>
                      <w:szCs w:val="21"/>
                      <w:lang w:bidi="ar"/>
                    </w:rPr>
                    <w:fldChar w:fldCharType="separate"/>
                  </w:r>
                  <w:r>
                    <w:rPr>
                      <w:rFonts w:hint="default" w:ascii="Times New Roman" w:hAnsi="Times New Roman" w:eastAsia="宋体" w:cs="Times New Roman"/>
                      <w:sz w:val="21"/>
                      <w:szCs w:val="21"/>
                    </w:rPr>
                    <w:t>①</w:t>
                  </w:r>
                  <w:r>
                    <w:rPr>
                      <w:rFonts w:hint="default" w:ascii="Times New Roman" w:hAnsi="Times New Roman" w:eastAsia="宋体" w:cs="Times New Roman"/>
                      <w:color w:val="000000"/>
                      <w:kern w:val="0"/>
                      <w:sz w:val="21"/>
                      <w:szCs w:val="21"/>
                      <w:lang w:bidi="ar"/>
                    </w:rPr>
                    <w:fldChar w:fldCharType="end"/>
                  </w:r>
                  <w:r>
                    <w:rPr>
                      <w:rFonts w:hint="default" w:ascii="Times New Roman" w:hAnsi="Times New Roman" w:eastAsia="宋体" w:cs="Times New Roman"/>
                      <w:color w:val="000000"/>
                      <w:kern w:val="0"/>
                      <w:sz w:val="21"/>
                      <w:szCs w:val="21"/>
                      <w:lang w:bidi="ar"/>
                    </w:rPr>
                    <w:t>施工生产用水水源依托村庄农户用水，施工临建场地设置蓄水池，蓄水池容积100m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；各风力发电机组基础和道路施工等用水可用罐车或者水箱从村庄取水。生活用水依托农户用水；</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fldChar w:fldCharType="begin"/>
                  </w:r>
                  <w:r>
                    <w:rPr>
                      <w:rFonts w:hint="default" w:ascii="Times New Roman" w:hAnsi="Times New Roman" w:eastAsia="宋体" w:cs="Times New Roman"/>
                      <w:color w:val="000000"/>
                      <w:kern w:val="0"/>
                      <w:sz w:val="21"/>
                      <w:szCs w:val="21"/>
                      <w:lang w:bidi="ar"/>
                    </w:rPr>
                    <w:instrText xml:space="preserve"> = 2 \* GB3 \* MERGEFORMAT </w:instrText>
                  </w:r>
                  <w:r>
                    <w:rPr>
                      <w:rFonts w:hint="default" w:ascii="Times New Roman" w:hAnsi="Times New Roman" w:eastAsia="宋体" w:cs="Times New Roman"/>
                      <w:color w:val="000000"/>
                      <w:kern w:val="0"/>
                      <w:sz w:val="21"/>
                      <w:szCs w:val="21"/>
                      <w:lang w:bidi="ar"/>
                    </w:rPr>
                    <w:fldChar w:fldCharType="separate"/>
                  </w:r>
                  <w:r>
                    <w:rPr>
                      <w:rFonts w:hint="default" w:ascii="Times New Roman" w:hAnsi="Times New Roman" w:eastAsia="宋体" w:cs="Times New Roman"/>
                      <w:sz w:val="21"/>
                      <w:szCs w:val="21"/>
                    </w:rPr>
                    <w:t>②</w:t>
                  </w:r>
                  <w:r>
                    <w:rPr>
                      <w:rFonts w:hint="default" w:ascii="Times New Roman" w:hAnsi="Times New Roman" w:eastAsia="宋体" w:cs="Times New Roman"/>
                      <w:color w:val="000000"/>
                      <w:kern w:val="0"/>
                      <w:sz w:val="21"/>
                      <w:szCs w:val="21"/>
                      <w:lang w:bidi="ar"/>
                    </w:rPr>
                    <w:fldChar w:fldCharType="end"/>
                  </w:r>
                  <w:r>
                    <w:rPr>
                      <w:rFonts w:hint="default" w:ascii="Times New Roman" w:hAnsi="Times New Roman" w:eastAsia="宋体" w:cs="Times New Roman"/>
                      <w:color w:val="000000"/>
                      <w:kern w:val="0"/>
                      <w:sz w:val="21"/>
                      <w:szCs w:val="21"/>
                      <w:lang w:bidi="ar"/>
                    </w:rPr>
                    <w:t>本工程采用二次加压供水方式，采用水车拉水。本工程开关站综合水泵房，泵房内设1座8m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的生活水箱，由一套生活变频供水机组（含两台生活供水泵，互为备用）供各单体。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排水</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①施工排水：施工期生产废水通过沉淀池(20m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)沉淀后回用于施工环节，生活污水排入旱厕，用于附近农田施肥；盥洗废水用于洒水抑尘；</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②运营期排水：室内生活污水系统采用单立管伸顶通气排水系统，污水自流排入室外污水管网。厨房污水经隔油池处理后排入室外污水管网。室外设一座化粪池和一座处理规模为1m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/h的一体化地埋式生活污水处理装置，污水经处理后回用于站区绿化。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供电</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①本项目施工用电由区域电网引一回10kV施工电源经施工区10/0.38kV台变，降压后引至各自的施工点，另外，设两台75kW移动式柴油发电机作为辅助用电；</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②用电采用双电源供电，主电源引自站内35kV母线，备用电源引自附近10kV电网（由施工电源改造），配置一套双电源自动切换装置。站用电电压等级采用380/220V，三相四线制，单母线接线。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消防</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项目设置消防设备，包括20具手提式磷酸铵盐干粉灭火器、2辆推车式磷酸铵盐干粉灭火器、1具1m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灭火砂箱、2具0.5m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灭火砂箱。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采暖</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开关站内控制室、继电器室、宿舍、办公室等房间采用分体风冷辅电热型双制空调器，冬季热风采暖，夏季冷风制冷。35kV配电室、站用配电室、卫生间冬季采用辐射式电暖气采暖。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环保工程</w:t>
                  </w:r>
                </w:p>
              </w:tc>
              <w:tc>
                <w:tcPr>
                  <w:tcW w:w="426"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废气</w:t>
                  </w: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针对施工扬尘要求采用洒水抑尘、土方覆盖、场地四周设置围挡等措施；针对施工机械废气要求选用优质燃料、加强车辆保养。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运营期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无废气产生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废水</w:t>
                  </w: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施工废水经沉淀池澄清处理后用于施工车辆冲洗和洒水降尘；施工生活区设置化粪池，处理后用作电厂周围区域生态用水，其他生活盥洗水收集后用于施工场地、道路洒水。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运营期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室内生活污水系统采用单立管伸顶通气排水系统，污水自流排入室外污水管网。厨房污水经隔油池处理后排入室外污水管网。室外设一座化粪池和一座处理规模为1m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/h的一体化地埋式生活污水处理装置，污水经处理后回用于站区绿化。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固废</w:t>
                  </w: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施工弃土石用于路面平整，植被恢复；生活垃圾由垃圾桶集中收集后，定期拉运，由环卫部门统一处理。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运营期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设备检修固废、废变压器油、废润滑油、废变压器属于危险废物，集中收集，放置于危废暂存间内</w:t>
                  </w:r>
                  <w:r>
                    <w:rPr>
                      <w:rFonts w:hint="default" w:ascii="Times New Roman" w:hAnsi="Times New Roman" w:eastAsia="宋体" w:cs="Times New Roman"/>
                      <w:kern w:val="0"/>
                      <w:sz w:val="21"/>
                      <w:szCs w:val="21"/>
                      <w:lang w:bidi="ar"/>
                    </w:rPr>
                    <w:t>（10m</w:t>
                  </w:r>
                  <w:r>
                    <w:rPr>
                      <w:rFonts w:hint="default" w:ascii="Times New Roman" w:hAnsi="Times New Roman" w:eastAsia="宋体" w:cs="Times New Roman"/>
                      <w:kern w:val="0"/>
                      <w:sz w:val="21"/>
                      <w:szCs w:val="21"/>
                      <w:vertAlign w:val="superscript"/>
                      <w:lang w:bidi="ar"/>
                    </w:rPr>
                    <w:t>3</w:t>
                  </w:r>
                  <w:r>
                    <w:rPr>
                      <w:rFonts w:hint="default" w:ascii="Times New Roman" w:hAnsi="Times New Roman" w:eastAsia="宋体" w:cs="Times New Roman"/>
                      <w:kern w:val="0"/>
                      <w:sz w:val="21"/>
                      <w:szCs w:val="21"/>
                      <w:lang w:bidi="ar"/>
                    </w:rPr>
                    <w:t>），</w:t>
                  </w:r>
                  <w:r>
                    <w:rPr>
                      <w:rFonts w:hint="default" w:ascii="Times New Roman" w:hAnsi="Times New Roman" w:eastAsia="宋体" w:cs="Times New Roman"/>
                      <w:color w:val="000000"/>
                      <w:kern w:val="0"/>
                      <w:sz w:val="21"/>
                      <w:szCs w:val="21"/>
                      <w:lang w:bidi="ar"/>
                    </w:rPr>
                    <w:t>定期交由有危废处理资质的单位进行规范处置；另外，在风机的每个变压器处设置1个事故油池（2.5m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）及收集导流系统，并进行防渗处理。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噪声</w:t>
                  </w: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针对机械设备噪声和交通噪声，要求合理布置场地、安排施工工序，在经过居民区时限速行驶、禁止鸣笛。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426"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06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运营期</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针对风力发电机转动时产生的噪声，选用隔音防震型，变速齿轮箱为减噪型，叶片用减速叶片等。</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35kV开关站内选用低噪声设备、采取基础减振、建筑隔声等措施控制噪声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c>
                <w:tcPr>
                  <w:tcW w:w="1489" w:type="dxa"/>
                  <w:gridSpan w:val="2"/>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生态环境</w:t>
                  </w:r>
                </w:p>
              </w:tc>
              <w:tc>
                <w:tcPr>
                  <w:tcW w:w="708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生态保护：优化风电机组位置，减少对植物破坏。施工期合理安排时间，减少施工临时占地，避免对植物的破坏；对临时占地及时恢复，合理绿化。对于永久性占地采取生态补偿。</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水土流失治理：永久占地基本为水泥硬面覆盖，临时占地可进行植被恢复，采取工程措施、植物措施、临时措施、管理措施全面控制水土流失量。</w:t>
                  </w:r>
                </w:p>
              </w:tc>
            </w:tr>
          </w:tbl>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4.4.3工程占地情况</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bidi="ar"/>
              </w:rPr>
              <w:t>本项目工程占地包括永久占地和临时占地。</w:t>
            </w:r>
            <w:r>
              <w:rPr>
                <w:rFonts w:hint="eastAsia" w:ascii="Times New Roman" w:hAnsi="Times New Roman" w:eastAsia="宋体" w:cs="Times New Roman"/>
                <w:color w:val="000000"/>
                <w:kern w:val="0"/>
                <w:sz w:val="21"/>
                <w:szCs w:val="21"/>
                <w:lang w:val="en-US" w:eastAsia="zh-CN" w:bidi="ar"/>
              </w:rPr>
              <w:t>项目占地范围内不涉及基本农田与林地，占地现状为一般农用地。</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（1）永久占地</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本项目永久占地包括风机基础、箱变基础、开关站用地、线路基础、直埋电缆、检修道路用地、开关站进站道路用地，总占地面积</w:t>
            </w:r>
            <w:r>
              <w:rPr>
                <w:rFonts w:hint="eastAsia" w:ascii="Times New Roman" w:hAnsi="Times New Roman" w:eastAsia="宋体" w:cs="Times New Roman"/>
                <w:color w:val="000000"/>
                <w:kern w:val="0"/>
                <w:szCs w:val="21"/>
                <w:lang w:val="en-US" w:eastAsia="zh-CN" w:bidi="ar"/>
              </w:rPr>
              <w:t>47175.79</w:t>
            </w:r>
            <w:r>
              <w:rPr>
                <w:rFonts w:hint="default" w:ascii="Times New Roman" w:hAnsi="Times New Roman" w:eastAsia="宋体" w:cs="Times New Roman"/>
                <w:color w:val="000000"/>
                <w:kern w:val="0"/>
                <w:sz w:val="21"/>
                <w:szCs w:val="21"/>
                <w:lang w:bidi="ar"/>
              </w:rPr>
              <w:t>㎡。本项目永久占地情况见下表</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w:t>
            </w:r>
            <w:r>
              <w:rPr>
                <w:rFonts w:hint="eastAsia" w:ascii="Times New Roman" w:hAnsi="Times New Roman"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bidi="ar"/>
              </w:rPr>
              <w:t>。</w:t>
            </w:r>
          </w:p>
          <w:tbl>
            <w:tblPr>
              <w:tblStyle w:val="18"/>
              <w:tblpPr w:leftFromText="180" w:rightFromText="180" w:vertAnchor="text" w:horzAnchor="page" w:tblpXSpec="center" w:tblpY="4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4203"/>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tcPr>
                <w:p>
                  <w:pPr>
                    <w:widowControl/>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序号</w:t>
                  </w:r>
                </w:p>
              </w:tc>
              <w:tc>
                <w:tcPr>
                  <w:tcW w:w="4915" w:type="dxa"/>
                  <w:tcBorders>
                    <w:tl2br w:val="nil"/>
                    <w:tr2bl w:val="nil"/>
                  </w:tcBorders>
                </w:tcPr>
                <w:p>
                  <w:pPr>
                    <w:widowControl/>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项目</w:t>
                  </w:r>
                </w:p>
              </w:tc>
              <w:tc>
                <w:tcPr>
                  <w:tcW w:w="3124" w:type="dxa"/>
                  <w:tcBorders>
                    <w:tl2br w:val="nil"/>
                    <w:tr2bl w:val="nil"/>
                  </w:tcBorders>
                </w:tcPr>
                <w:p>
                  <w:pPr>
                    <w:widowControl/>
                    <w:jc w:val="center"/>
                    <w:rPr>
                      <w:rFonts w:hint="default"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占地面积（m</w:t>
                  </w:r>
                  <w:r>
                    <w:rPr>
                      <w:rFonts w:hint="default" w:ascii="Times New Roman" w:hAnsi="Times New Roman" w:eastAsia="宋体" w:cs="Times New Roman"/>
                      <w:b/>
                      <w:bCs/>
                      <w:color w:val="000000"/>
                      <w:kern w:val="0"/>
                      <w:szCs w:val="21"/>
                      <w:vertAlign w:val="superscript"/>
                      <w:lang w:bidi="ar"/>
                    </w:rPr>
                    <w:t>2</w:t>
                  </w:r>
                  <w:r>
                    <w:rPr>
                      <w:rFonts w:hint="default" w:ascii="Times New Roman" w:hAnsi="Times New Roman" w:eastAsia="宋体" w:cs="Times New Roman"/>
                      <w:b/>
                      <w:bCs/>
                      <w:color w:val="000000"/>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w:t>
                  </w:r>
                </w:p>
              </w:tc>
              <w:tc>
                <w:tcPr>
                  <w:tcW w:w="4915"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开关站</w:t>
                  </w:r>
                </w:p>
              </w:tc>
              <w:tc>
                <w:tcPr>
                  <w:tcW w:w="3124"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w:t>
                  </w:r>
                </w:p>
              </w:tc>
              <w:tc>
                <w:tcPr>
                  <w:tcW w:w="4915"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风机基础</w:t>
                  </w:r>
                </w:p>
              </w:tc>
              <w:tc>
                <w:tcPr>
                  <w:tcW w:w="3124"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2715.79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w:t>
                  </w:r>
                </w:p>
              </w:tc>
              <w:tc>
                <w:tcPr>
                  <w:tcW w:w="4915"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箱变基础</w:t>
                  </w:r>
                </w:p>
              </w:tc>
              <w:tc>
                <w:tcPr>
                  <w:tcW w:w="3124"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4</w:t>
                  </w:r>
                </w:p>
              </w:tc>
              <w:tc>
                <w:tcPr>
                  <w:tcW w:w="4915"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线路基础（输电线路塔杆）</w:t>
                  </w:r>
                </w:p>
              </w:tc>
              <w:tc>
                <w:tcPr>
                  <w:tcW w:w="3124" w:type="dxa"/>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5</w:t>
                  </w:r>
                </w:p>
              </w:tc>
              <w:tc>
                <w:tcPr>
                  <w:tcW w:w="4915"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直埋电缆</w:t>
                  </w:r>
                </w:p>
              </w:tc>
              <w:tc>
                <w:tcPr>
                  <w:tcW w:w="3124"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6</w:t>
                  </w:r>
                </w:p>
              </w:tc>
              <w:tc>
                <w:tcPr>
                  <w:tcW w:w="4915"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检修道路征地</w:t>
                  </w:r>
                </w:p>
              </w:tc>
              <w:tc>
                <w:tcPr>
                  <w:tcW w:w="3124"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tcBorders>
                    <w:tl2br w:val="nil"/>
                    <w:tr2bl w:val="nil"/>
                  </w:tcBorders>
                </w:tcPr>
                <w:p>
                  <w:pPr>
                    <w:widowControl/>
                    <w:jc w:val="center"/>
                    <w:rPr>
                      <w:rFonts w:hint="eastAsia"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7</w:t>
                  </w:r>
                </w:p>
              </w:tc>
              <w:tc>
                <w:tcPr>
                  <w:tcW w:w="4915"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开关站进站道路</w:t>
                  </w:r>
                </w:p>
              </w:tc>
              <w:tc>
                <w:tcPr>
                  <w:tcW w:w="3124" w:type="dxa"/>
                  <w:tcBorders>
                    <w:tl2br w:val="nil"/>
                    <w:tr2bl w:val="nil"/>
                  </w:tcBorders>
                  <w:vAlign w:val="top"/>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5" w:type="dxa"/>
                  <w:gridSpan w:val="2"/>
                  <w:tcBorders>
                    <w:tl2br w:val="nil"/>
                    <w:tr2bl w:val="nil"/>
                  </w:tcBorders>
                </w:tcPr>
                <w:p>
                  <w:pPr>
                    <w:widowControl/>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合计</w:t>
                  </w:r>
                </w:p>
              </w:tc>
              <w:tc>
                <w:tcPr>
                  <w:tcW w:w="3124" w:type="dxa"/>
                  <w:tcBorders>
                    <w:tl2br w:val="nil"/>
                    <w:tr2bl w:val="nil"/>
                  </w:tcBorders>
                </w:tcPr>
                <w:p>
                  <w:pPr>
                    <w:widowControl/>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47175.79</w:t>
                  </w:r>
                </w:p>
              </w:tc>
            </w:tr>
          </w:tbl>
          <w:p>
            <w:pPr>
              <w:widowControl/>
              <w:spacing w:line="360" w:lineRule="auto"/>
              <w:ind w:firstLine="422" w:firstLineChars="20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表</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bidi="ar"/>
              </w:rPr>
              <w:t>-</w:t>
            </w:r>
            <w:r>
              <w:rPr>
                <w:rFonts w:hint="eastAsia" w:ascii="Times New Roman" w:hAnsi="Times New Roman" w:cs="Times New Roman"/>
                <w:b/>
                <w:bCs/>
                <w:color w:val="000000"/>
                <w:kern w:val="0"/>
                <w:sz w:val="21"/>
                <w:szCs w:val="21"/>
                <w:lang w:val="en-US" w:eastAsia="zh-CN" w:bidi="ar"/>
              </w:rPr>
              <w:t>3</w:t>
            </w:r>
            <w:r>
              <w:rPr>
                <w:rFonts w:hint="default" w:ascii="Times New Roman" w:hAnsi="Times New Roman" w:eastAsia="宋体" w:cs="Times New Roman"/>
                <w:b/>
                <w:bCs/>
                <w:color w:val="000000"/>
                <w:kern w:val="0"/>
                <w:sz w:val="21"/>
                <w:szCs w:val="21"/>
                <w:lang w:bidi="ar"/>
              </w:rPr>
              <w:t xml:space="preserve">  永久占地情况一览表</w:t>
            </w:r>
          </w:p>
          <w:p>
            <w:pPr>
              <w:widowControl/>
              <w:spacing w:line="360" w:lineRule="auto"/>
              <w:ind w:firstLine="422"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b/>
                <w:bCs/>
                <w:color w:val="000000"/>
                <w:kern w:val="0"/>
                <w:sz w:val="21"/>
                <w:szCs w:val="21"/>
                <w:lang w:bidi="ar"/>
              </w:rPr>
              <w:t>（2）临时占地</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本项目临时性占地包括风电机组安装平台、临时施工用地、施工道路临时用地，总占地面积</w:t>
            </w:r>
            <w:r>
              <w:rPr>
                <w:rFonts w:hint="eastAsia" w:ascii="Times New Roman" w:hAnsi="Times New Roman" w:eastAsia="宋体" w:cs="Times New Roman"/>
                <w:color w:val="000000"/>
                <w:kern w:val="0"/>
                <w:sz w:val="21"/>
                <w:szCs w:val="21"/>
                <w:lang w:val="en-US" w:eastAsia="zh-CN" w:bidi="ar"/>
              </w:rPr>
              <w:t>50400</w:t>
            </w:r>
            <w:r>
              <w:rPr>
                <w:rFonts w:hint="default" w:ascii="Times New Roman" w:hAnsi="Times New Roman" w:eastAsia="宋体" w:cs="Times New Roman"/>
                <w:color w:val="000000"/>
                <w:kern w:val="0"/>
                <w:sz w:val="21"/>
                <w:szCs w:val="21"/>
                <w:lang w:bidi="ar"/>
              </w:rPr>
              <w:t>㎡。本项目临时性占地情况见下表</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w:t>
            </w:r>
            <w:r>
              <w:rPr>
                <w:rFonts w:hint="eastAsia" w:ascii="Times New Roman" w:hAnsi="Times New Roman"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bidi="ar"/>
              </w:rPr>
              <w:t>。</w:t>
            </w:r>
          </w:p>
          <w:p>
            <w:pPr>
              <w:widowControl/>
              <w:ind w:firstLine="422" w:firstLineChars="20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表</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bidi="ar"/>
              </w:rPr>
              <w:t>-</w:t>
            </w:r>
            <w:r>
              <w:rPr>
                <w:rFonts w:hint="eastAsia" w:ascii="Times New Roman" w:hAnsi="Times New Roman"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bidi="ar"/>
              </w:rPr>
              <w:t xml:space="preserve">  临时用地情况一览表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4223"/>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序号</w:t>
                  </w:r>
                </w:p>
              </w:tc>
              <w:tc>
                <w:tcPr>
                  <w:tcW w:w="4436" w:type="dxa"/>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项目</w:t>
                  </w:r>
                </w:p>
              </w:tc>
              <w:tc>
                <w:tcPr>
                  <w:tcW w:w="2868" w:type="dxa"/>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占地面积（m</w:t>
                  </w:r>
                  <w:r>
                    <w:rPr>
                      <w:rFonts w:hint="default" w:ascii="Times New Roman" w:hAnsi="Times New Roman" w:eastAsia="宋体" w:cs="Times New Roman"/>
                      <w:b/>
                      <w:bCs/>
                      <w:color w:val="000000"/>
                      <w:kern w:val="0"/>
                      <w:sz w:val="21"/>
                      <w:szCs w:val="21"/>
                      <w:vertAlign w:val="superscript"/>
                      <w:lang w:bidi="ar"/>
                    </w:rPr>
                    <w:t>2</w:t>
                  </w:r>
                  <w:r>
                    <w:rPr>
                      <w:rFonts w:hint="default" w:ascii="Times New Roman" w:hAnsi="Times New Roman" w:eastAsia="宋体" w:cs="Times New Roman"/>
                      <w:b/>
                      <w:bCs/>
                      <w:color w:val="000000"/>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4436"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风电机组安装平台（租1年）</w:t>
                  </w:r>
                </w:p>
              </w:tc>
              <w:tc>
                <w:tcPr>
                  <w:tcW w:w="2868" w:type="dxa"/>
                </w:tcPr>
                <w:p>
                  <w:pPr>
                    <w:widowControl/>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8"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w:t>
                  </w:r>
                </w:p>
              </w:tc>
              <w:tc>
                <w:tcPr>
                  <w:tcW w:w="4436"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临时施工用地（租1年）</w:t>
                  </w:r>
                </w:p>
              </w:tc>
              <w:tc>
                <w:tcPr>
                  <w:tcW w:w="2868"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4436"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施工道路临时用地（租1年）</w:t>
                  </w:r>
                </w:p>
              </w:tc>
              <w:tc>
                <w:tcPr>
                  <w:tcW w:w="2868" w:type="dxa"/>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4" w:type="dxa"/>
                  <w:gridSpan w:val="2"/>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合计</w:t>
                  </w:r>
                </w:p>
              </w:tc>
              <w:tc>
                <w:tcPr>
                  <w:tcW w:w="2868" w:type="dxa"/>
                </w:tcPr>
                <w:p>
                  <w:pPr>
                    <w:widowControl/>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50400</w:t>
                  </w:r>
                </w:p>
              </w:tc>
            </w:tr>
          </w:tbl>
          <w:p>
            <w:pPr>
              <w:widowControl/>
              <w:spacing w:line="360" w:lineRule="auto"/>
              <w:ind w:firstLine="422" w:firstLineChars="200"/>
              <w:jc w:val="left"/>
              <w:rPr>
                <w:rFonts w:hint="default" w:ascii="Times New Roman" w:hAnsi="Times New Roman" w:eastAsia="宋体" w:cs="Times New Roman"/>
                <w:color w:val="000000"/>
                <w:kern w:val="0"/>
                <w:sz w:val="21"/>
                <w:szCs w:val="21"/>
                <w:lang w:bidi="ar"/>
              </w:rPr>
            </w:pPr>
            <w:r>
              <w:rPr>
                <w:rFonts w:hint="eastAsia" w:ascii="Times New Roman" w:hAnsi="Times New Roman" w:cs="Times New Roman"/>
                <w:b/>
                <w:bCs/>
                <w:color w:val="000000"/>
                <w:kern w:val="0"/>
                <w:sz w:val="21"/>
                <w:szCs w:val="21"/>
                <w:lang w:val="en-US" w:eastAsia="zh-CN" w:bidi="ar"/>
              </w:rPr>
              <w:t>三、</w:t>
            </w:r>
            <w:r>
              <w:rPr>
                <w:rFonts w:hint="default" w:ascii="Times New Roman" w:hAnsi="Times New Roman" w:eastAsia="宋体" w:cs="Times New Roman"/>
                <w:b/>
                <w:bCs/>
                <w:color w:val="000000"/>
                <w:kern w:val="0"/>
                <w:sz w:val="21"/>
                <w:szCs w:val="21"/>
                <w:lang w:bidi="ar"/>
              </w:rPr>
              <w:t>工程特征及主要技术经济指标</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本项目工程特征及主要技术指标见表</w:t>
            </w:r>
            <w:r>
              <w:rPr>
                <w:rFonts w:hint="eastAsia" w:ascii="Times New Roman" w:hAnsi="Times New Roman"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bidi="ar"/>
              </w:rPr>
              <w:t>-</w:t>
            </w:r>
            <w:r>
              <w:rPr>
                <w:rFonts w:hint="eastAsia" w:ascii="Times New Roman" w:hAnsi="Times New Roman"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bidi="ar"/>
              </w:rPr>
              <w:t>。</w:t>
            </w:r>
          </w:p>
          <w:p>
            <w:pPr>
              <w:widowControl/>
              <w:spacing w:line="360" w:lineRule="auto"/>
              <w:ind w:firstLine="422" w:firstLineChars="200"/>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表</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bidi="ar"/>
              </w:rPr>
              <w:t>-</w:t>
            </w:r>
            <w:r>
              <w:rPr>
                <w:rFonts w:hint="eastAsia" w:ascii="Times New Roman" w:hAnsi="Times New Roman" w:cs="Times New Roman"/>
                <w:b/>
                <w:bCs/>
                <w:color w:val="000000"/>
                <w:kern w:val="0"/>
                <w:sz w:val="21"/>
                <w:szCs w:val="21"/>
                <w:lang w:val="en-US" w:eastAsia="zh-CN" w:bidi="ar"/>
              </w:rPr>
              <w:t>5</w:t>
            </w:r>
            <w:r>
              <w:rPr>
                <w:rFonts w:hint="default" w:ascii="Times New Roman" w:hAnsi="Times New Roman" w:eastAsia="宋体" w:cs="Times New Roman"/>
                <w:b/>
                <w:bCs/>
                <w:color w:val="000000"/>
                <w:kern w:val="0"/>
                <w:sz w:val="21"/>
                <w:szCs w:val="21"/>
                <w:lang w:bidi="ar"/>
              </w:rPr>
              <w:t xml:space="preserve">  主要经济技术指标表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912"/>
              <w:gridCol w:w="732"/>
              <w:gridCol w:w="2548"/>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序号</w:t>
                  </w:r>
                </w:p>
              </w:tc>
              <w:tc>
                <w:tcPr>
                  <w:tcW w:w="3634"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名称</w:t>
                  </w:r>
                </w:p>
              </w:tc>
              <w:tc>
                <w:tcPr>
                  <w:tcW w:w="741"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单位</w:t>
                  </w:r>
                </w:p>
              </w:tc>
              <w:tc>
                <w:tcPr>
                  <w:tcW w:w="2731"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数量</w:t>
                  </w:r>
                </w:p>
              </w:tc>
              <w:tc>
                <w:tcPr>
                  <w:tcW w:w="1490"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一</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风力发电场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海拔高度</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352~462</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w:t>
                  </w: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经度</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110°06'18.7685"E～</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110°12'21.5955"E</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维度</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34°55'20.8729"N～</w:t>
                  </w:r>
                </w:p>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34°58'19.4096"N</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二</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风资源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年平均风速</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m/s</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5.27</w:t>
                  </w:r>
                </w:p>
              </w:tc>
              <w:tc>
                <w:tcPr>
                  <w:tcW w:w="1490" w:type="dxa"/>
                  <w:vMerge w:val="restart"/>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95m机位处平均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w:t>
                  </w: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风能密度</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W/m</w:t>
                  </w:r>
                  <w:r>
                    <w:rPr>
                      <w:rFonts w:hint="default" w:ascii="Times New Roman" w:hAnsi="Times New Roman" w:eastAsia="宋体" w:cs="Times New Roman"/>
                      <w:color w:val="000000"/>
                      <w:kern w:val="0"/>
                      <w:sz w:val="21"/>
                      <w:szCs w:val="21"/>
                      <w:vertAlign w:val="superscript"/>
                      <w:lang w:bidi="ar"/>
                    </w:rPr>
                    <w:t>2</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199.2</w:t>
                  </w:r>
                </w:p>
              </w:tc>
              <w:tc>
                <w:tcPr>
                  <w:tcW w:w="1490" w:type="dxa"/>
                  <w:vMerge w:val="continue"/>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盛行风向</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ENE</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三</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风力发电机组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数量</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12</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额定功率</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KW</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2500</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叶片数</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个</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风轮直径</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147</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扫风面积</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r>
                    <w:rPr>
                      <w:rFonts w:hint="default" w:ascii="Times New Roman" w:hAnsi="Times New Roman" w:eastAsia="宋体" w:cs="Times New Roman"/>
                      <w:color w:val="000000"/>
                      <w:kern w:val="0"/>
                      <w:sz w:val="21"/>
                      <w:szCs w:val="21"/>
                      <w:vertAlign w:val="superscript"/>
                      <w:lang w:bidi="ar"/>
                    </w:rPr>
                    <w:t>2</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16733.06</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切入风速</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m/s</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轮毂高度</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95</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发动机转速</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r/min</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900~2016</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发动机容量</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kW</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2650</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额定电压</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V</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690</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2</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中压送电设备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箱式变电站</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12</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型号</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YBW11-F- 2750/35</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四</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35kV开关站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8596" w:type="dxa"/>
                  <w:gridSpan w:val="4"/>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主变压器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数量</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电压等级</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kV</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35</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w:t>
                  </w:r>
                </w:p>
              </w:tc>
              <w:tc>
                <w:tcPr>
                  <w:tcW w:w="8596" w:type="dxa"/>
                  <w:gridSpan w:val="4"/>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出线回路数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回路数</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回</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送电方向</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两宜110kV变35kV侧</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最终以接入系统为主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五</w:t>
                  </w:r>
                </w:p>
              </w:tc>
              <w:tc>
                <w:tcPr>
                  <w:tcW w:w="8596" w:type="dxa"/>
                  <w:gridSpan w:val="4"/>
                  <w:vAlign w:val="center"/>
                </w:tcPr>
                <w:p>
                  <w:pPr>
                    <w:widowControl/>
                    <w:jc w:val="center"/>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土壤结构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w:t>
                  </w:r>
                </w:p>
              </w:tc>
              <w:tc>
                <w:tcPr>
                  <w:tcW w:w="8596" w:type="dxa"/>
                  <w:gridSpan w:val="4"/>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风力发电机组基础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台数</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12</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型式</w:t>
                  </w:r>
                </w:p>
              </w:tc>
              <w:tc>
                <w:tcPr>
                  <w:tcW w:w="4962" w:type="dxa"/>
                  <w:gridSpan w:val="3"/>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钢筋混凝土圆板基础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w:t>
                  </w:r>
                </w:p>
              </w:tc>
              <w:tc>
                <w:tcPr>
                  <w:tcW w:w="8596" w:type="dxa"/>
                  <w:gridSpan w:val="4"/>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箱式变电站基础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台数</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台</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12</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型式</w:t>
                  </w:r>
                </w:p>
              </w:tc>
              <w:tc>
                <w:tcPr>
                  <w:tcW w:w="4962" w:type="dxa"/>
                  <w:gridSpan w:val="3"/>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钢筋砼箱型基础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w:t>
                  </w:r>
                </w:p>
              </w:tc>
              <w:tc>
                <w:tcPr>
                  <w:tcW w:w="8596" w:type="dxa"/>
                  <w:gridSpan w:val="4"/>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征地工程量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工程永久征地</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亩</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9.94</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土石方开挖</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r>
                    <w:rPr>
                      <w:rFonts w:hint="default" w:ascii="Times New Roman" w:hAnsi="Times New Roman" w:eastAsia="宋体" w:cs="Times New Roman"/>
                      <w:color w:val="000000"/>
                      <w:kern w:val="0"/>
                      <w:sz w:val="21"/>
                      <w:szCs w:val="21"/>
                      <w:vertAlign w:val="superscript"/>
                      <w:lang w:bidi="ar"/>
                    </w:rPr>
                    <w:t>3</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rPr>
                    <w:t>89586</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土石方回填</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m</w:t>
                  </w:r>
                  <w:r>
                    <w:rPr>
                      <w:rFonts w:hint="default" w:ascii="Times New Roman" w:hAnsi="Times New Roman" w:eastAsia="宋体" w:cs="Times New Roman"/>
                      <w:color w:val="000000"/>
                      <w:kern w:val="0"/>
                      <w:sz w:val="21"/>
                      <w:szCs w:val="21"/>
                      <w:vertAlign w:val="superscript"/>
                      <w:lang w:bidi="ar"/>
                    </w:rPr>
                    <w:t>3</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sz w:val="21"/>
                      <w:szCs w:val="21"/>
                    </w:rPr>
                    <w:t>89586</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3" w:type="dxa"/>
                  <w:vAlign w:val="center"/>
                </w:tcPr>
                <w:p>
                  <w:pPr>
                    <w:widowControl/>
                    <w:jc w:val="center"/>
                    <w:rPr>
                      <w:rFonts w:hint="default" w:ascii="Times New Roman" w:hAnsi="Times New Roman" w:eastAsia="宋体" w:cs="Times New Roman"/>
                      <w:color w:val="000000"/>
                      <w:kern w:val="0"/>
                      <w:sz w:val="21"/>
                      <w:szCs w:val="21"/>
                      <w:lang w:bidi="ar"/>
                    </w:rPr>
                  </w:pPr>
                </w:p>
              </w:tc>
              <w:tc>
                <w:tcPr>
                  <w:tcW w:w="3634"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施工期限（总工期）</w:t>
                  </w:r>
                </w:p>
              </w:tc>
              <w:tc>
                <w:tcPr>
                  <w:tcW w:w="74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月</w:t>
                  </w:r>
                </w:p>
              </w:tc>
              <w:tc>
                <w:tcPr>
                  <w:tcW w:w="2731" w:type="dxa"/>
                  <w:vAlign w:val="center"/>
                </w:tcPr>
                <w:p>
                  <w:pPr>
                    <w:widowControl/>
                    <w:jc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w:t>
                  </w:r>
                </w:p>
              </w:tc>
              <w:tc>
                <w:tcPr>
                  <w:tcW w:w="1490" w:type="dxa"/>
                  <w:vAlign w:val="center"/>
                </w:tcPr>
                <w:p>
                  <w:pPr>
                    <w:widowControl/>
                    <w:jc w:val="center"/>
                    <w:rPr>
                      <w:rFonts w:hint="default" w:ascii="Times New Roman" w:hAnsi="Times New Roman" w:eastAsia="宋体" w:cs="Times New Roman"/>
                      <w:color w:val="000000"/>
                      <w:kern w:val="0"/>
                      <w:sz w:val="21"/>
                      <w:szCs w:val="21"/>
                      <w:lang w:bidi="ar"/>
                    </w:rPr>
                  </w:pPr>
                </w:p>
              </w:tc>
            </w:tr>
          </w:tbl>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eastAsia" w:ascii="Times New Roman" w:hAnsi="Times New Roman" w:cs="Times New Roman"/>
                <w:b/>
                <w:bCs/>
                <w:color w:val="000000"/>
                <w:kern w:val="0"/>
                <w:sz w:val="21"/>
                <w:szCs w:val="21"/>
                <w:lang w:val="en-US" w:eastAsia="zh-CN" w:bidi="ar"/>
              </w:rPr>
              <w:t>四、</w:t>
            </w:r>
            <w:r>
              <w:rPr>
                <w:rFonts w:hint="default" w:ascii="Times New Roman" w:hAnsi="Times New Roman" w:eastAsia="宋体" w:cs="Times New Roman"/>
                <w:b/>
                <w:bCs/>
                <w:color w:val="000000"/>
                <w:kern w:val="0"/>
                <w:sz w:val="21"/>
                <w:szCs w:val="21"/>
                <w:lang w:bidi="ar"/>
              </w:rPr>
              <w:t>公用工程</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（1）给水系统</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fldChar w:fldCharType="begin"/>
            </w:r>
            <w:r>
              <w:rPr>
                <w:rFonts w:hint="default" w:ascii="Times New Roman" w:hAnsi="Times New Roman" w:eastAsia="宋体" w:cs="Times New Roman"/>
                <w:b/>
                <w:bCs/>
                <w:color w:val="000000"/>
                <w:kern w:val="0"/>
                <w:sz w:val="21"/>
                <w:szCs w:val="21"/>
                <w:lang w:bidi="ar"/>
              </w:rPr>
              <w:instrText xml:space="preserve"> = 1 \* GB3 \* MERGEFORMAT </w:instrText>
            </w:r>
            <w:r>
              <w:rPr>
                <w:rFonts w:hint="default" w:ascii="Times New Roman" w:hAnsi="Times New Roman" w:eastAsia="宋体" w:cs="Times New Roman"/>
                <w:b/>
                <w:bCs/>
                <w:color w:val="000000"/>
                <w:kern w:val="0"/>
                <w:sz w:val="21"/>
                <w:szCs w:val="21"/>
                <w:lang w:bidi="ar"/>
              </w:rPr>
              <w:fldChar w:fldCharType="separate"/>
            </w:r>
            <w:r>
              <w:rPr>
                <w:rFonts w:hint="default" w:ascii="Times New Roman" w:hAnsi="Times New Roman" w:eastAsia="宋体" w:cs="Times New Roman"/>
                <w:b/>
                <w:bCs/>
                <w:sz w:val="21"/>
                <w:szCs w:val="21"/>
              </w:rPr>
              <w:t>①</w:t>
            </w:r>
            <w:r>
              <w:rPr>
                <w:rFonts w:hint="default" w:ascii="Times New Roman" w:hAnsi="Times New Roman" w:eastAsia="宋体" w:cs="Times New Roman"/>
                <w:b/>
                <w:bCs/>
                <w:color w:val="000000"/>
                <w:kern w:val="0"/>
                <w:sz w:val="21"/>
                <w:szCs w:val="21"/>
                <w:lang w:bidi="ar"/>
              </w:rPr>
              <w:fldChar w:fldCharType="end"/>
            </w:r>
            <w:r>
              <w:rPr>
                <w:rFonts w:hint="default" w:ascii="Times New Roman" w:hAnsi="Times New Roman" w:eastAsia="宋体" w:cs="Times New Roman"/>
                <w:b/>
                <w:bCs/>
                <w:color w:val="000000"/>
                <w:kern w:val="0"/>
                <w:sz w:val="21"/>
                <w:szCs w:val="21"/>
                <w:lang w:bidi="ar"/>
              </w:rPr>
              <w:t>水源及给水</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施工期用水：施工生产用水水源依托村庄农户用水，施工临建场地设置蓄水池，蓄水池容积100m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；各风力发电机组基础和道路施工等用水可用罐车或者水箱从村庄取水。生活用水依托农户用水；</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运营期用水：本工程采用二次加压供水方式，采用水车拉水。本工程开关站综合水泵房，泵房内设1座8m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的生活水箱，由一套生活变频供水机组（含两台生活供水泵，互为备用）供各单体。</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fldChar w:fldCharType="begin"/>
            </w:r>
            <w:r>
              <w:rPr>
                <w:rFonts w:hint="default" w:ascii="Times New Roman" w:hAnsi="Times New Roman" w:eastAsia="宋体" w:cs="Times New Roman"/>
                <w:b/>
                <w:bCs/>
                <w:color w:val="000000"/>
                <w:kern w:val="0"/>
                <w:sz w:val="21"/>
                <w:szCs w:val="21"/>
                <w:lang w:bidi="ar"/>
              </w:rPr>
              <w:instrText xml:space="preserve"> = 2 \* GB3 \* MERGEFORMAT </w:instrText>
            </w:r>
            <w:r>
              <w:rPr>
                <w:rFonts w:hint="default" w:ascii="Times New Roman" w:hAnsi="Times New Roman" w:eastAsia="宋体" w:cs="Times New Roman"/>
                <w:b/>
                <w:bCs/>
                <w:color w:val="000000"/>
                <w:kern w:val="0"/>
                <w:sz w:val="21"/>
                <w:szCs w:val="21"/>
                <w:lang w:bidi="ar"/>
              </w:rPr>
              <w:fldChar w:fldCharType="separate"/>
            </w:r>
            <w:r>
              <w:rPr>
                <w:rFonts w:hint="default" w:ascii="Times New Roman" w:hAnsi="Times New Roman" w:eastAsia="宋体" w:cs="Times New Roman"/>
                <w:b/>
                <w:bCs/>
                <w:sz w:val="21"/>
                <w:szCs w:val="21"/>
              </w:rPr>
              <w:t>②</w:t>
            </w:r>
            <w:r>
              <w:rPr>
                <w:rFonts w:hint="default" w:ascii="Times New Roman" w:hAnsi="Times New Roman" w:eastAsia="宋体" w:cs="Times New Roman"/>
                <w:b/>
                <w:bCs/>
                <w:color w:val="000000"/>
                <w:kern w:val="0"/>
                <w:sz w:val="21"/>
                <w:szCs w:val="21"/>
                <w:lang w:bidi="ar"/>
              </w:rPr>
              <w:fldChar w:fldCharType="end"/>
            </w:r>
            <w:r>
              <w:rPr>
                <w:rFonts w:hint="default" w:ascii="Times New Roman" w:hAnsi="Times New Roman" w:eastAsia="宋体" w:cs="Times New Roman"/>
                <w:b/>
                <w:bCs/>
                <w:color w:val="000000"/>
                <w:kern w:val="0"/>
                <w:sz w:val="21"/>
                <w:szCs w:val="21"/>
                <w:lang w:bidi="ar"/>
              </w:rPr>
              <w:t>用水量</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施工期用水：</w:t>
            </w:r>
          </w:p>
          <w:p>
            <w:pPr>
              <w:widowControl/>
              <w:numPr>
                <w:ilvl w:val="0"/>
                <w:numId w:val="1"/>
              </w:numPr>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生产用水主要来自混凝土养护，运输车辆、施工机械的冲洗及机械修配等环节。本项目施工用水量为60m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/d，按90%消耗计算废水产生量约6m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2）施工期人员定额60人，用水定额为50L/（人·d），则项目生活用水量为3.0m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/d，生活污水量按生活用水量的80%计算，则项目生活污水产生量为2.4m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运营期用水：用水主要为开关站值班人员生活用水，依据陕西省地方标准《行业用水定额》（DB61/T943-</w:t>
            </w:r>
            <w:r>
              <w:rPr>
                <w:rFonts w:hint="eastAsia" w:ascii="Times New Roman" w:hAnsi="Times New Roman" w:eastAsia="宋体" w:cs="Times New Roman"/>
                <w:color w:val="000000"/>
                <w:kern w:val="0"/>
                <w:sz w:val="21"/>
                <w:szCs w:val="21"/>
                <w:lang w:val="en-US" w:eastAsia="zh-CN" w:bidi="ar"/>
              </w:rPr>
              <w:t>2020</w:t>
            </w:r>
            <w:r>
              <w:rPr>
                <w:rFonts w:hint="default" w:ascii="Times New Roman" w:hAnsi="Times New Roman" w:eastAsia="宋体" w:cs="Times New Roman"/>
                <w:color w:val="000000"/>
                <w:kern w:val="0"/>
                <w:sz w:val="21"/>
                <w:szCs w:val="21"/>
                <w:lang w:bidi="ar"/>
              </w:rPr>
              <w:t>），本项目定员5人，年工作时间为365天，确定项目职工用水定额为70L/（人·d），项目生活用水量为0.35m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/d（127.75m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/a），生活污水量按生活用水量的80%计算，则项目生活污水量为0.28m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/d（102.2m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/a）。</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（2）排水系统</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fldChar w:fldCharType="begin"/>
            </w:r>
            <w:r>
              <w:rPr>
                <w:rFonts w:hint="default" w:ascii="Times New Roman" w:hAnsi="Times New Roman" w:eastAsia="宋体" w:cs="Times New Roman"/>
                <w:color w:val="000000"/>
                <w:kern w:val="0"/>
                <w:sz w:val="21"/>
                <w:szCs w:val="21"/>
                <w:lang w:bidi="ar"/>
              </w:rPr>
              <w:instrText xml:space="preserve"> = 1 \* GB3 \* MERGEFORMAT </w:instrText>
            </w:r>
            <w:r>
              <w:rPr>
                <w:rFonts w:hint="default" w:ascii="Times New Roman" w:hAnsi="Times New Roman" w:eastAsia="宋体" w:cs="Times New Roman"/>
                <w:color w:val="000000"/>
                <w:kern w:val="0"/>
                <w:sz w:val="21"/>
                <w:szCs w:val="21"/>
                <w:lang w:bidi="ar"/>
              </w:rPr>
              <w:fldChar w:fldCharType="separate"/>
            </w:r>
            <w:r>
              <w:rPr>
                <w:rFonts w:hint="default" w:ascii="Times New Roman" w:hAnsi="Times New Roman" w:eastAsia="宋体" w:cs="Times New Roman"/>
                <w:sz w:val="21"/>
                <w:szCs w:val="21"/>
              </w:rPr>
              <w:t>①</w:t>
            </w:r>
            <w:r>
              <w:rPr>
                <w:rFonts w:hint="default" w:ascii="Times New Roman" w:hAnsi="Times New Roman" w:eastAsia="宋体" w:cs="Times New Roman"/>
                <w:color w:val="000000"/>
                <w:kern w:val="0"/>
                <w:sz w:val="21"/>
                <w:szCs w:val="21"/>
                <w:lang w:bidi="ar"/>
              </w:rPr>
              <w:fldChar w:fldCharType="end"/>
            </w:r>
            <w:r>
              <w:rPr>
                <w:rFonts w:hint="default" w:ascii="Times New Roman" w:hAnsi="Times New Roman" w:eastAsia="宋体" w:cs="Times New Roman"/>
                <w:color w:val="000000"/>
                <w:kern w:val="0"/>
                <w:sz w:val="21"/>
                <w:szCs w:val="21"/>
                <w:lang w:bidi="ar"/>
              </w:rPr>
              <w:t>施工期排水：施工期生产废水通过沉淀池(20m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)沉淀后回用于施工环节，生活污水排入旱厕，用于附近农田施肥；盥洗废水用于洒水抑尘；</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fldChar w:fldCharType="begin"/>
            </w:r>
            <w:r>
              <w:rPr>
                <w:rFonts w:hint="default" w:ascii="Times New Roman" w:hAnsi="Times New Roman" w:eastAsia="宋体" w:cs="Times New Roman"/>
                <w:color w:val="000000"/>
                <w:kern w:val="0"/>
                <w:sz w:val="21"/>
                <w:szCs w:val="21"/>
                <w:lang w:bidi="ar"/>
              </w:rPr>
              <w:instrText xml:space="preserve"> = 2 \* GB3 \* MERGEFORMAT </w:instrText>
            </w:r>
            <w:r>
              <w:rPr>
                <w:rFonts w:hint="default" w:ascii="Times New Roman" w:hAnsi="Times New Roman" w:eastAsia="宋体" w:cs="Times New Roman"/>
                <w:color w:val="000000"/>
                <w:kern w:val="0"/>
                <w:sz w:val="21"/>
                <w:szCs w:val="21"/>
                <w:lang w:bidi="ar"/>
              </w:rPr>
              <w:fldChar w:fldCharType="separate"/>
            </w:r>
            <w:r>
              <w:rPr>
                <w:rFonts w:hint="default" w:ascii="Times New Roman" w:hAnsi="Times New Roman" w:eastAsia="宋体" w:cs="Times New Roman"/>
                <w:sz w:val="21"/>
                <w:szCs w:val="21"/>
              </w:rPr>
              <w:t>②</w:t>
            </w:r>
            <w:r>
              <w:rPr>
                <w:rFonts w:hint="default" w:ascii="Times New Roman" w:hAnsi="Times New Roman" w:eastAsia="宋体" w:cs="Times New Roman"/>
                <w:color w:val="000000"/>
                <w:kern w:val="0"/>
                <w:sz w:val="21"/>
                <w:szCs w:val="21"/>
                <w:lang w:bidi="ar"/>
              </w:rPr>
              <w:fldChar w:fldCharType="end"/>
            </w:r>
            <w:r>
              <w:rPr>
                <w:rFonts w:hint="default" w:ascii="Times New Roman" w:hAnsi="Times New Roman" w:eastAsia="宋体" w:cs="Times New Roman"/>
                <w:color w:val="000000"/>
                <w:kern w:val="0"/>
                <w:sz w:val="21"/>
                <w:szCs w:val="21"/>
                <w:lang w:bidi="ar"/>
              </w:rPr>
              <w:t>运营期排水：室内生活污水系统采用单立管伸顶通气排水系统，污水自流排入室外污水管网。厨房污水经隔油池处理后排入室外污水管网。室外设一座化粪池和一座处理规模为1m3/h的一体化地埋式生活污水处理装置，污水经处理后回用于站区绿化。</w:t>
            </w:r>
          </w:p>
          <w:p>
            <w:pPr>
              <w:widowControl/>
              <w:numPr>
                <w:ilvl w:val="0"/>
                <w:numId w:val="0"/>
              </w:numPr>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eastAsia" w:ascii="Times New Roman" w:hAnsi="Times New Roman" w:cs="Times New Roman"/>
                <w:b/>
                <w:bCs/>
                <w:color w:val="000000"/>
                <w:kern w:val="0"/>
                <w:sz w:val="21"/>
                <w:szCs w:val="21"/>
                <w:lang w:eastAsia="zh-CN" w:bidi="ar"/>
              </w:rPr>
              <w:t>（</w:t>
            </w:r>
            <w:r>
              <w:rPr>
                <w:rFonts w:hint="eastAsia" w:ascii="Times New Roman" w:hAnsi="Times New Roman" w:cs="Times New Roman"/>
                <w:b/>
                <w:bCs/>
                <w:color w:val="000000"/>
                <w:kern w:val="0"/>
                <w:sz w:val="21"/>
                <w:szCs w:val="21"/>
                <w:lang w:val="en-US" w:eastAsia="zh-CN" w:bidi="ar"/>
              </w:rPr>
              <w:t>3</w:t>
            </w:r>
            <w:r>
              <w:rPr>
                <w:rFonts w:hint="eastAsia" w:ascii="Times New Roman" w:hAnsi="Times New Roman" w:cs="Times New Roman"/>
                <w:b/>
                <w:bCs/>
                <w:color w:val="000000"/>
                <w:kern w:val="0"/>
                <w:sz w:val="21"/>
                <w:szCs w:val="21"/>
                <w:lang w:eastAsia="zh-CN" w:bidi="ar"/>
              </w:rPr>
              <w:t>）</w:t>
            </w:r>
            <w:r>
              <w:rPr>
                <w:rFonts w:hint="default" w:ascii="Times New Roman" w:hAnsi="Times New Roman" w:eastAsia="宋体" w:cs="Times New Roman"/>
                <w:b/>
                <w:bCs/>
                <w:color w:val="000000"/>
                <w:kern w:val="0"/>
                <w:sz w:val="21"/>
                <w:szCs w:val="21"/>
                <w:lang w:bidi="ar"/>
              </w:rPr>
              <w:t>施工供电</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本项目施工用电由区域电网引一回10kV施工电源经施工区10/0.38kV台变，降压后引至各自的施工点，另外，设两台75kW移动式柴油发电机作为辅助用电；</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w:t>
            </w:r>
            <w:r>
              <w:rPr>
                <w:rFonts w:hint="eastAsia" w:ascii="Times New Roman" w:hAnsi="Times New Roman" w:cs="Times New Roman"/>
                <w:b/>
                <w:bCs/>
                <w:color w:val="000000"/>
                <w:kern w:val="0"/>
                <w:sz w:val="21"/>
                <w:szCs w:val="21"/>
                <w:lang w:val="en-US" w:eastAsia="zh-CN" w:bidi="ar"/>
              </w:rPr>
              <w:t>4</w:t>
            </w:r>
            <w:r>
              <w:rPr>
                <w:rFonts w:hint="default" w:ascii="Times New Roman" w:hAnsi="Times New Roman" w:eastAsia="宋体" w:cs="Times New Roman"/>
                <w:b/>
                <w:bCs/>
                <w:color w:val="000000"/>
                <w:kern w:val="0"/>
                <w:sz w:val="21"/>
                <w:szCs w:val="21"/>
                <w:lang w:bidi="ar"/>
              </w:rPr>
              <w:t>）运行期供电</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本项目用电采用双电源供电，主电源引自站内35kV母线，备用电源引自附近10kV电网（由施工电源改造），配置一套双电源自动切换装置。站用电电压等级采用380/220V，三相四线制，单母线接线。</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eastAsia" w:ascii="Times New Roman" w:hAnsi="Times New Roman" w:cs="Times New Roman"/>
                <w:b/>
                <w:bCs/>
                <w:color w:val="000000"/>
                <w:kern w:val="0"/>
                <w:sz w:val="21"/>
                <w:szCs w:val="21"/>
                <w:lang w:eastAsia="zh-CN" w:bidi="ar"/>
              </w:rPr>
              <w:t>（</w:t>
            </w:r>
            <w:r>
              <w:rPr>
                <w:rFonts w:hint="eastAsia" w:ascii="Times New Roman" w:hAnsi="Times New Roman" w:cs="Times New Roman"/>
                <w:b/>
                <w:bCs/>
                <w:color w:val="000000"/>
                <w:kern w:val="0"/>
                <w:sz w:val="21"/>
                <w:szCs w:val="21"/>
                <w:lang w:val="en-US" w:eastAsia="zh-CN" w:bidi="ar"/>
              </w:rPr>
              <w:t>5</w:t>
            </w:r>
            <w:r>
              <w:rPr>
                <w:rFonts w:hint="eastAsia" w:ascii="Times New Roman" w:hAnsi="Times New Roman" w:cs="Times New Roman"/>
                <w:b/>
                <w:bCs/>
                <w:color w:val="000000"/>
                <w:kern w:val="0"/>
                <w:sz w:val="21"/>
                <w:szCs w:val="21"/>
                <w:lang w:eastAsia="zh-CN" w:bidi="ar"/>
              </w:rPr>
              <w:t>）</w:t>
            </w:r>
            <w:r>
              <w:rPr>
                <w:rFonts w:hint="default" w:ascii="Times New Roman" w:hAnsi="Times New Roman" w:eastAsia="宋体" w:cs="Times New Roman"/>
                <w:b/>
                <w:bCs/>
                <w:color w:val="000000"/>
                <w:kern w:val="0"/>
                <w:sz w:val="21"/>
                <w:szCs w:val="21"/>
                <w:lang w:bidi="ar"/>
              </w:rPr>
              <w:t>职工定员</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本项目设置劳动定员5人，年工作365天。</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eastAsia" w:ascii="Times New Roman" w:hAnsi="Times New Roman" w:cs="Times New Roman"/>
                <w:b/>
                <w:bCs/>
                <w:color w:val="000000"/>
                <w:kern w:val="0"/>
                <w:sz w:val="21"/>
                <w:szCs w:val="21"/>
                <w:lang w:eastAsia="zh-CN" w:bidi="ar"/>
              </w:rPr>
              <w:t>（</w:t>
            </w:r>
            <w:r>
              <w:rPr>
                <w:rFonts w:hint="eastAsia" w:ascii="Times New Roman" w:hAnsi="Times New Roman" w:cs="Times New Roman"/>
                <w:b/>
                <w:bCs/>
                <w:color w:val="000000"/>
                <w:kern w:val="0"/>
                <w:sz w:val="21"/>
                <w:szCs w:val="21"/>
                <w:lang w:val="en-US" w:eastAsia="zh-CN" w:bidi="ar"/>
              </w:rPr>
              <w:t>6</w:t>
            </w:r>
            <w:r>
              <w:rPr>
                <w:rFonts w:hint="eastAsia" w:ascii="Times New Roman" w:hAnsi="Times New Roman" w:cs="Times New Roman"/>
                <w:b/>
                <w:bCs/>
                <w:color w:val="000000"/>
                <w:kern w:val="0"/>
                <w:sz w:val="21"/>
                <w:szCs w:val="21"/>
                <w:lang w:eastAsia="zh-CN" w:bidi="ar"/>
              </w:rPr>
              <w:t>）</w:t>
            </w:r>
            <w:r>
              <w:rPr>
                <w:rFonts w:hint="default" w:ascii="Times New Roman" w:hAnsi="Times New Roman" w:eastAsia="宋体" w:cs="Times New Roman"/>
                <w:b/>
                <w:bCs/>
                <w:color w:val="000000"/>
                <w:kern w:val="0"/>
                <w:sz w:val="21"/>
                <w:szCs w:val="21"/>
                <w:lang w:bidi="ar"/>
              </w:rPr>
              <w:t>施工工期</w:t>
            </w:r>
          </w:p>
          <w:p>
            <w:pPr>
              <w:widowControl/>
              <w:spacing w:line="360" w:lineRule="auto"/>
              <w:ind w:firstLine="420" w:firstLineChars="200"/>
              <w:jc w:val="left"/>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工程计划总工期为8个月。</w:t>
            </w:r>
          </w:p>
          <w:p>
            <w:pPr>
              <w:widowControl/>
              <w:spacing w:line="360" w:lineRule="auto"/>
              <w:ind w:firstLine="422" w:firstLineChars="200"/>
              <w:jc w:val="left"/>
              <w:rPr>
                <w:rFonts w:hint="default" w:ascii="Times New Roman" w:hAnsi="Times New Roman" w:eastAsia="宋体" w:cs="Times New Roman"/>
                <w:b/>
                <w:bCs/>
                <w:color w:val="000000"/>
                <w:kern w:val="0"/>
                <w:sz w:val="21"/>
                <w:szCs w:val="21"/>
                <w:lang w:bidi="ar"/>
              </w:rPr>
            </w:pPr>
            <w:r>
              <w:rPr>
                <w:rFonts w:hint="eastAsia" w:ascii="Times New Roman" w:hAnsi="Times New Roman" w:cs="Times New Roman"/>
                <w:b/>
                <w:bCs/>
                <w:color w:val="000000"/>
                <w:kern w:val="0"/>
                <w:sz w:val="21"/>
                <w:szCs w:val="21"/>
                <w:lang w:eastAsia="zh-CN" w:bidi="ar"/>
              </w:rPr>
              <w:t>（</w:t>
            </w:r>
            <w:r>
              <w:rPr>
                <w:rFonts w:hint="eastAsia" w:ascii="Times New Roman" w:hAnsi="Times New Roman" w:cs="Times New Roman"/>
                <w:b/>
                <w:bCs/>
                <w:color w:val="000000"/>
                <w:kern w:val="0"/>
                <w:sz w:val="21"/>
                <w:szCs w:val="21"/>
                <w:lang w:val="en-US" w:eastAsia="zh-CN" w:bidi="ar"/>
              </w:rPr>
              <w:t>7</w:t>
            </w:r>
            <w:r>
              <w:rPr>
                <w:rFonts w:hint="eastAsia" w:ascii="Times New Roman" w:hAnsi="Times New Roman" w:cs="Times New Roman"/>
                <w:b/>
                <w:bCs/>
                <w:color w:val="000000"/>
                <w:kern w:val="0"/>
                <w:sz w:val="21"/>
                <w:szCs w:val="21"/>
                <w:lang w:eastAsia="zh-CN" w:bidi="ar"/>
              </w:rPr>
              <w:t>）</w:t>
            </w:r>
            <w:r>
              <w:rPr>
                <w:rFonts w:hint="default" w:ascii="Times New Roman" w:hAnsi="Times New Roman" w:eastAsia="宋体" w:cs="Times New Roman"/>
                <w:b/>
                <w:bCs/>
                <w:color w:val="000000"/>
                <w:kern w:val="0"/>
                <w:sz w:val="21"/>
                <w:szCs w:val="21"/>
                <w:lang w:bidi="ar"/>
              </w:rPr>
              <w:t>工程投资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0"/>
                <w:sz w:val="21"/>
                <w:szCs w:val="21"/>
                <w:lang w:eastAsia="zh-CN"/>
              </w:rPr>
            </w:pPr>
            <w:r>
              <w:rPr>
                <w:rFonts w:hint="default" w:ascii="Times New Roman" w:hAnsi="Times New Roman" w:eastAsia="宋体" w:cs="Times New Roman"/>
                <w:color w:val="000000"/>
                <w:kern w:val="0"/>
                <w:sz w:val="21"/>
                <w:szCs w:val="21"/>
                <w:lang w:bidi="ar"/>
              </w:rPr>
              <w:t>本项目总投资24000万元</w:t>
            </w:r>
            <w:r>
              <w:rPr>
                <w:rFonts w:hint="eastAsia" w:ascii="宋体" w:hAnsi="宋体" w:cs="宋体"/>
                <w:kern w:val="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总平面及现场布置</w:t>
            </w:r>
          </w:p>
        </w:tc>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s="宋体"/>
                <w:kern w:val="0"/>
                <w:sz w:val="21"/>
                <w:szCs w:val="21"/>
              </w:rPr>
            </w:pPr>
            <w:r>
              <w:rPr>
                <w:rFonts w:hint="eastAsia" w:ascii="宋体" w:hAnsi="宋体" w:cs="宋体"/>
                <w:kern w:val="0"/>
                <w:sz w:val="21"/>
                <w:szCs w:val="21"/>
              </w:rPr>
              <w:t>项目所在地地形为关中平原地形，地势平坦，风机点位旁均分布村镇，项目租用就近农户房屋作为施工临建场地，主要设置机械修配、仓库及设备堆放场、临时办公生活区等施工临时设施，不设置混凝土搅拌站，采用商品混凝土进行浇注。施工生活区布置于施工生产临建场地内，临建场地面积约4000m</w:t>
            </w:r>
            <w:r>
              <w:rPr>
                <w:rFonts w:hint="eastAsia" w:ascii="宋体" w:hAnsi="宋体" w:cs="宋体"/>
                <w:kern w:val="0"/>
                <w:sz w:val="21"/>
                <w:szCs w:val="21"/>
                <w:vertAlign w:val="superscript"/>
              </w:rPr>
              <w:t>2</w:t>
            </w:r>
            <w:r>
              <w:rPr>
                <w:rFonts w:hint="eastAsia" w:ascii="宋体" w:hAnsi="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0"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施工方案</w:t>
            </w:r>
          </w:p>
        </w:tc>
        <w:tc>
          <w:tcPr>
            <w:tcW w:w="8380" w:type="dxa"/>
            <w:noWrap w:val="0"/>
            <w:vAlign w:val="center"/>
          </w:tcPr>
          <w:p>
            <w:pPr>
              <w:spacing w:line="360" w:lineRule="auto"/>
              <w:ind w:firstLine="420" w:firstLineChars="200"/>
              <w:rPr>
                <w:rFonts w:hint="eastAsia" w:ascii="Times New Roman" w:hAnsi="Times New Roman" w:eastAsia="宋体" w:cs="Times New Roman"/>
                <w:color w:val="000000"/>
                <w:kern w:val="0"/>
                <w:sz w:val="21"/>
                <w:szCs w:val="21"/>
                <w:lang w:eastAsia="zh-CN" w:bidi="ar"/>
              </w:rPr>
            </w:pPr>
            <w:r>
              <w:rPr>
                <w:rFonts w:hint="default" w:ascii="Times New Roman" w:hAnsi="Times New Roman" w:eastAsia="宋体" w:cs="Times New Roman"/>
                <w:color w:val="000000"/>
                <w:kern w:val="0"/>
                <w:sz w:val="21"/>
                <w:szCs w:val="21"/>
                <w:lang w:bidi="ar"/>
              </w:rPr>
              <w:t>本次风电场工程施工主要包括风力发电机组基础、箱变基础的开挖和混凝土浇筑、区内建筑物及构筑物施工、机组设备的安装以及电气设备的安装、机组箱变的安装、线缆的安装及升压变电设备的安装。</w:t>
            </w:r>
            <w:r>
              <w:rPr>
                <w:rFonts w:hint="eastAsia" w:ascii="Times New Roman" w:hAnsi="Times New Roman" w:eastAsia="宋体" w:cs="Times New Roman"/>
                <w:color w:val="000000"/>
                <w:kern w:val="0"/>
                <w:sz w:val="21"/>
                <w:szCs w:val="21"/>
                <w:lang w:eastAsia="zh-CN" w:bidi="ar"/>
              </w:rPr>
              <w:t>（</w:t>
            </w:r>
            <w:r>
              <w:rPr>
                <w:rFonts w:hint="eastAsia" w:ascii="Times New Roman" w:hAnsi="Times New Roman" w:eastAsia="宋体" w:cs="Times New Roman"/>
                <w:color w:val="000000"/>
                <w:kern w:val="0"/>
                <w:sz w:val="21"/>
                <w:szCs w:val="21"/>
                <w:lang w:val="en-US" w:eastAsia="zh-CN" w:bidi="ar"/>
              </w:rPr>
              <w:t>施工总平图见附图8</w:t>
            </w:r>
            <w:r>
              <w:rPr>
                <w:rFonts w:hint="eastAsia" w:ascii="Times New Roman" w:hAnsi="Times New Roman" w:eastAsia="宋体" w:cs="Times New Roman"/>
                <w:color w:val="000000"/>
                <w:kern w:val="0"/>
                <w:sz w:val="21"/>
                <w:szCs w:val="21"/>
                <w:lang w:eastAsia="zh-CN" w:bidi="ar"/>
              </w:rPr>
              <w:t>）</w:t>
            </w:r>
          </w:p>
          <w:p>
            <w:pPr>
              <w:spacing w:line="360" w:lineRule="auto"/>
              <w:ind w:firstLine="422" w:firstLineChars="200"/>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fldChar w:fldCharType="begin"/>
            </w:r>
            <w:r>
              <w:rPr>
                <w:rFonts w:hint="default" w:ascii="Times New Roman" w:hAnsi="Times New Roman" w:eastAsia="宋体" w:cs="Times New Roman"/>
                <w:b/>
                <w:bCs/>
                <w:color w:val="000000"/>
                <w:kern w:val="0"/>
                <w:sz w:val="21"/>
                <w:szCs w:val="21"/>
                <w:lang w:bidi="ar"/>
              </w:rPr>
              <w:instrText xml:space="preserve"> = 1 \* GB3 \* MERGEFORMAT </w:instrText>
            </w:r>
            <w:r>
              <w:rPr>
                <w:rFonts w:hint="default" w:ascii="Times New Roman" w:hAnsi="Times New Roman" w:eastAsia="宋体" w:cs="Times New Roman"/>
                <w:b/>
                <w:bCs/>
                <w:color w:val="000000"/>
                <w:kern w:val="0"/>
                <w:sz w:val="21"/>
                <w:szCs w:val="21"/>
                <w:lang w:bidi="ar"/>
              </w:rPr>
              <w:fldChar w:fldCharType="separate"/>
            </w:r>
            <w:r>
              <w:rPr>
                <w:rFonts w:hint="default" w:ascii="Times New Roman" w:hAnsi="Times New Roman" w:eastAsia="宋体" w:cs="Times New Roman"/>
                <w:b/>
                <w:bCs/>
                <w:sz w:val="21"/>
                <w:szCs w:val="21"/>
              </w:rPr>
              <w:t>①</w:t>
            </w:r>
            <w:r>
              <w:rPr>
                <w:rFonts w:hint="default" w:ascii="Times New Roman" w:hAnsi="Times New Roman" w:eastAsia="宋体" w:cs="Times New Roman"/>
                <w:b/>
                <w:bCs/>
                <w:color w:val="000000"/>
                <w:kern w:val="0"/>
                <w:sz w:val="21"/>
                <w:szCs w:val="21"/>
                <w:lang w:bidi="ar"/>
              </w:rPr>
              <w:fldChar w:fldCharType="end"/>
            </w:r>
            <w:r>
              <w:rPr>
                <w:rFonts w:hint="default" w:ascii="Times New Roman" w:hAnsi="Times New Roman" w:eastAsia="宋体" w:cs="Times New Roman"/>
                <w:b/>
                <w:bCs/>
                <w:color w:val="000000"/>
                <w:kern w:val="0"/>
                <w:sz w:val="21"/>
                <w:szCs w:val="21"/>
                <w:lang w:bidi="ar"/>
              </w:rPr>
              <w:t>风力发电机组及箱变基础工程施工</w:t>
            </w:r>
          </w:p>
          <w:p>
            <w:pPr>
              <w:spacing w:line="360" w:lineRule="auto"/>
              <w:ind w:firstLine="420" w:firstLineChars="200"/>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基础施工程序为：定位放线→基础机械挖土→混凝土灌注桩施工→基槽验收→承台垫层混凝土浇筑→放线→承台钢筋绑扎→预埋管、件、螺栓安装→支模→承台混凝土浇筑→拆模→验收→土石方回填。</w:t>
            </w:r>
          </w:p>
          <w:p>
            <w:pPr>
              <w:spacing w:line="360" w:lineRule="auto"/>
              <w:ind w:firstLine="422" w:firstLineChars="200"/>
              <w:rPr>
                <w:rFonts w:hint="default" w:ascii="Times New Roman" w:hAnsi="Times New Roman" w:eastAsia="宋体" w:cs="Times New Roman"/>
                <w:b/>
                <w:bCs/>
                <w:color w:val="000000"/>
                <w:kern w:val="0"/>
                <w:sz w:val="21"/>
                <w:szCs w:val="21"/>
                <w:lang w:bidi="ar"/>
              </w:rPr>
            </w:pPr>
            <w:r>
              <w:rPr>
                <w:rFonts w:hint="default" w:ascii="Times New Roman" w:hAnsi="Times New Roman" w:eastAsia="宋体" w:cs="Times New Roman"/>
                <w:b/>
                <w:bCs/>
                <w:color w:val="000000"/>
                <w:kern w:val="0"/>
                <w:sz w:val="21"/>
                <w:szCs w:val="21"/>
                <w:lang w:bidi="ar"/>
              </w:rPr>
              <w:t>②风力发电机组安装</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包括施工准备、塔架安装、风力发电机安装、机舱安装、叶片安装、电气设备安装。</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A.施工准备：风机安装之前应制定施工方案，施工方案应符合国家及上级安全生产规定，并报监理审批。</w:t>
            </w:r>
          </w:p>
          <w:p>
            <w:pPr>
              <w:spacing w:line="360" w:lineRule="auto"/>
              <w:ind w:firstLine="422" w:firstLineChars="200"/>
              <w:rPr>
                <w:rFonts w:hint="eastAsia"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（1）</w:t>
            </w:r>
            <w:r>
              <w:rPr>
                <w:rFonts w:hint="eastAsia" w:ascii="Times New Roman" w:hAnsi="Times New Roman" w:eastAsia="宋体" w:cs="Times New Roman"/>
                <w:b/>
                <w:bCs/>
                <w:sz w:val="21"/>
                <w:szCs w:val="21"/>
                <w:lang w:val="en-US" w:eastAsia="zh-CN"/>
              </w:rPr>
              <w:t>吊装前完成以下各项准备工作：</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1）风机安装现场道路应平整、通畅，所有道路能够保证各种施工车辆安全通行。</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2）风机安装场地应满足吊装需要，并应有足够的零部件存放场地。</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3）施工现场临时用电应采取可靠的安全措施。</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4）施工现场应根据需要设置警示性标牌、围栏等安全设施。</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5）安装现场应准备常用的医药用品。</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6）吊装前吊装人员必须检查吊车各零部件，正确选择吊具。</w:t>
            </w:r>
          </w:p>
          <w:p>
            <w:pPr>
              <w:spacing w:line="360" w:lineRule="auto"/>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7）吊装前应认真检查风机设备，防止物品坠落。</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8）吊装现场必须设专人指挥。指挥必须有起重指挥证，执行规定指挥手势和信号。</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9）起重机操作人员在吊装过程中负有重要责任。吊装前，吊装指挥和起重机操作人员要共同熟悉吊装方案。吊装指挥应向起重机操作人员交待清楚工作任务。</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10）遇有大雾、雷雨天、照明不足，指挥人员看不清各工作地点，或起重驾驶员看不见指挥人员时，不得进行起重工作。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11）塔架内的同一段爬梯上只允许有一个人在攀爬或施工。</w:t>
            </w:r>
          </w:p>
          <w:p>
            <w:pPr>
              <w:spacing w:line="360" w:lineRule="auto"/>
              <w:ind w:firstLine="422" w:firstLineChars="200"/>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（2）吊装设备选用</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风电机组吊装属于风电工程施工的关键内容和重点，一般情况下，大吨位的履带式起重机吊装设备时为主，汽车起重机为辅，起重机的主要任务是完成机舱、塔筒和叶轮等三大部件的安装。</w:t>
            </w:r>
          </w:p>
          <w:p>
            <w:pPr>
              <w:spacing w:line="360" w:lineRule="auto"/>
              <w:ind w:firstLine="422" w:firstLineChars="200"/>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（3）吊装场地需求</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安装时两台吊车联合作业，为了保证吊车吊臂在起吊过程中不碰到塔架，应保证吊车有足够的空间，2.5MW风电机组需要不小于40m×50m的工作空间。在进场公路旁应有存放零配件或小型吊车的足够场地。</w:t>
            </w:r>
          </w:p>
          <w:p>
            <w:pPr>
              <w:spacing w:line="360" w:lineRule="auto"/>
              <w:ind w:firstLine="422" w:firstLineChars="200"/>
              <w:rPr>
                <w:rFonts w:hint="default"/>
                <w:b/>
                <w:bCs/>
                <w:sz w:val="21"/>
                <w:szCs w:val="21"/>
                <w:lang w:val="en-US" w:eastAsia="zh-CN"/>
              </w:rPr>
            </w:pPr>
            <w:r>
              <w:rPr>
                <w:rFonts w:hint="eastAsia" w:ascii="Times New Roman" w:hAnsi="Times New Roman" w:eastAsia="宋体" w:cs="Times New Roman"/>
                <w:b/>
                <w:bCs/>
                <w:sz w:val="21"/>
                <w:szCs w:val="21"/>
                <w:lang w:val="en-US" w:eastAsia="zh-CN"/>
              </w:rPr>
              <w:t>B.风电机组塔筒安装</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本工程风力发电机塔筒为圆筒塔架，由三部分或四部分组成，每两部分之间用法兰盘连接。将电源控制柜、塔筒内需布设的电缆及结构配件全部在塔筒内安装好后，再进行吊装。</w:t>
            </w:r>
          </w:p>
          <w:p>
            <w:pPr>
              <w:spacing w:line="360" w:lineRule="auto"/>
              <w:ind w:firstLine="422" w:firstLineChars="200"/>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（1）下塔筒的吊装工序</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1）在下塔筒吊装之前，须完成塔基控制柜支架和柜体的安装；</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2）在吊装之前，用水准仪复核锚笼环的标高和水平度，清除锚笼环螺栓孔内的灰尘、铁锈、铁屑等杂物，清理锚笼环上下法兰面，在锚笼环上法兰面上涂密封胶；</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3）准备好下塔筒与锚笼环；</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4）用专用润滑剂润滑所有螺栓的螺纹；</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5）按安装方案要求，将主吊车与副吊车布置就位，吊装工具准备齐全。主吊车吊具与塔筒上法兰联接（均布四处联接），副吊车吊具与塔筒下法兰一处联接，将吊具吊头分别挂在主副吊车大钩里，并扣好大钩安全扣。通过下塔筒下法兰螺栓孔绑好两根对称的拉绳，用来调整塔筒方向。</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6）主副吊车同时起吊，待塔筒离开地面以后，主吊车继续提升，副吊车则调整塔筒底端和地面的距离；</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主吊车将塔筒提升至垂直位置后，拆卸副吊车吊具，使塔筒底部对准锚笼环法兰面缓缓落下，并用拉绳调整塔筒方向，找准塔架入口门正确位置，并转动筒体使塔筒和锚笼环螺栓孔对正，落下筒体，在下塔筒和锚笼环法兰面距离3mm～5mm时可用孔销定位。</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8）用电动或液压扳手预紧螺栓；</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9）拆卸主吊车吊具；</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10）紧固塔筒与锚笼环连接螺栓，螺栓紧固力矩须满足要求；</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11）连接接地线；</w:t>
            </w:r>
          </w:p>
          <w:p>
            <w:pPr>
              <w:spacing w:line="360" w:lineRule="auto"/>
              <w:ind w:firstLine="420" w:firstLineChars="200"/>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12）塔筒内照明接线安装；</w:t>
            </w:r>
          </w:p>
          <w:p>
            <w:pPr>
              <w:spacing w:line="360" w:lineRule="auto"/>
              <w:ind w:firstLine="422" w:firstLineChars="200"/>
              <w:rPr>
                <w:rFonts w:hint="eastAsia" w:ascii="Times New Roman" w:hAnsi="Times New Roman" w:eastAsia="宋体" w:cs="Times New Roman"/>
                <w:b/>
                <w:bCs/>
                <w:sz w:val="21"/>
                <w:szCs w:val="21"/>
                <w:lang w:eastAsia="zh-CN"/>
              </w:rPr>
            </w:pPr>
            <w:r>
              <w:rPr>
                <w:rFonts w:hint="eastAsia" w:ascii="Times New Roman" w:hAnsi="Times New Roman" w:eastAsia="宋体" w:cs="Times New Roman"/>
                <w:b/>
                <w:bCs/>
                <w:sz w:val="21"/>
                <w:szCs w:val="21"/>
                <w:lang w:eastAsia="zh-CN"/>
              </w:rPr>
              <w:t>（2）中段塔筒和上段塔筒的吊装</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中段塔筒和上段塔筒的吊装方法同下塔筒的吊装。在吊装之前，清理已安装塔筒的上法兰面及螺栓孔，并准备好法兰连接螺栓。在主吊车提升塔筒并处于垂直状态时，清理塔筒下部法兰面及螺栓孔。塔筒对接时应保证位置正确，孔位准确，连接可靠。</w:t>
            </w:r>
          </w:p>
          <w:p>
            <w:pPr>
              <w:spacing w:line="360" w:lineRule="auto"/>
              <w:ind w:firstLine="422" w:firstLineChars="200"/>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C.风电机组机舱安装</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风力发电机组采用分部件吊装的形式，在安装时，应选择良好的天气，下雨或风速超过12m/s时不允许安装风力发电机。根据汽车吊的起吊能力，机舱可用汽车吊直接吊至塔架顶部并予以固定，汽车吊支撑部位需铺垫路基箱，增加接地面积以分散起重荷载，防止地面下陷。吊车起吊机舱到上塔筒上法兰上方，用拉绳调整机舱方位，对正位置，偏航滑块引导机舱进入指定位置。在间隙约在10mm时，调整并确认机舱纵轴线与当时风向垂直，利用工装将机舱定位先装上固定螺栓，落下机舱到位后拧紧所有螺栓，松卸吊绳；用对角法分两次拧紧螺栓至规定力矩；安装偏航刹车，接通液压油管。</w:t>
            </w:r>
          </w:p>
          <w:p>
            <w:pPr>
              <w:spacing w:line="360" w:lineRule="auto"/>
              <w:ind w:firstLine="422" w:firstLineChars="200"/>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D.风电机组叶轮安装</w:t>
            </w:r>
          </w:p>
          <w:p>
            <w:pPr>
              <w:spacing w:line="36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在地面上按施工安装技术要求首先将转子叶片安装在轮毂上，然后再进行吊装工作。轮毂与叶片在地面组装，叶片需采用支架支撑呈水平状态。组装完毕后，采用专用夹具夹紧轮毂，同时用绳索系在其中的两片叶片上，剩余的一片叶片尖端架在可移动式专用小车上。在转子叶片安装前，应用清洗设备对叶片法兰和轮毂法兰进行清洗。当汽车吊将轮毂缓慢吊起时，由人工在地面拉住绳索以控制叶片的摆动，直到提升至安装高度，由安装工人站于机舱内进行空中组装连接。</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35kV开关站施工</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开关站设置有35kV配电室、SVG室、接地变电阻柜、办公室、化粪池以及危险废物暂存间等。</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fldChar w:fldCharType="begin"/>
            </w:r>
            <w:r>
              <w:rPr>
                <w:rFonts w:hint="default" w:ascii="Times New Roman" w:hAnsi="Times New Roman" w:eastAsia="宋体" w:cs="Times New Roman"/>
                <w:b/>
                <w:bCs/>
                <w:color w:val="000000"/>
                <w:kern w:val="0"/>
                <w:sz w:val="21"/>
                <w:szCs w:val="21"/>
                <w:lang w:bidi="ar"/>
              </w:rPr>
              <w:instrText xml:space="preserve"> = 1 \* GB3 \* MERGEFORMAT </w:instrText>
            </w:r>
            <w:r>
              <w:rPr>
                <w:rFonts w:hint="default" w:ascii="Times New Roman" w:hAnsi="Times New Roman" w:eastAsia="宋体" w:cs="Times New Roman"/>
                <w:b/>
                <w:bCs/>
                <w:color w:val="000000"/>
                <w:kern w:val="0"/>
                <w:sz w:val="21"/>
                <w:szCs w:val="21"/>
                <w:lang w:bidi="ar"/>
              </w:rPr>
              <w:fldChar w:fldCharType="separate"/>
            </w:r>
            <w:r>
              <w:rPr>
                <w:rFonts w:hint="default" w:ascii="Times New Roman" w:hAnsi="Times New Roman" w:eastAsia="宋体" w:cs="Times New Roman"/>
                <w:b/>
                <w:bCs/>
                <w:sz w:val="21"/>
                <w:szCs w:val="21"/>
              </w:rPr>
              <w:t>①</w:t>
            </w:r>
            <w:r>
              <w:rPr>
                <w:rFonts w:hint="default" w:ascii="Times New Roman" w:hAnsi="Times New Roman" w:eastAsia="宋体" w:cs="Times New Roman"/>
                <w:b/>
                <w:bCs/>
                <w:color w:val="000000"/>
                <w:kern w:val="0"/>
                <w:sz w:val="21"/>
                <w:szCs w:val="21"/>
                <w:lang w:bidi="ar"/>
              </w:rPr>
              <w:fldChar w:fldCharType="end"/>
            </w:r>
            <w:r>
              <w:rPr>
                <w:rFonts w:hint="default" w:ascii="Times New Roman" w:hAnsi="Times New Roman" w:eastAsia="宋体" w:cs="Times New Roman"/>
                <w:b/>
                <w:bCs/>
                <w:color w:val="000000"/>
                <w:kern w:val="0"/>
                <w:sz w:val="21"/>
                <w:szCs w:val="21"/>
                <w:lang w:bidi="ar"/>
              </w:rPr>
              <w:t>电气设备基础施工</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开关站的设备基础施工顺序大致为：施工准备→场地平整、碾压→基坑开挖→混凝土基础施工→基坑回填→电气设备安装。</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color w:val="000000"/>
                <w:kern w:val="0"/>
                <w:sz w:val="21"/>
                <w:szCs w:val="21"/>
                <w:lang w:bidi="ar"/>
              </w:rPr>
              <w:fldChar w:fldCharType="begin"/>
            </w:r>
            <w:r>
              <w:rPr>
                <w:rFonts w:hint="default" w:ascii="Times New Roman" w:hAnsi="Times New Roman" w:eastAsia="宋体" w:cs="Times New Roman"/>
                <w:b/>
                <w:bCs/>
                <w:color w:val="000000"/>
                <w:kern w:val="0"/>
                <w:sz w:val="21"/>
                <w:szCs w:val="21"/>
                <w:lang w:bidi="ar"/>
              </w:rPr>
              <w:instrText xml:space="preserve"> = 2 \* GB3 \* MERGEFORMAT </w:instrText>
            </w:r>
            <w:r>
              <w:rPr>
                <w:rFonts w:hint="default" w:ascii="Times New Roman" w:hAnsi="Times New Roman" w:eastAsia="宋体" w:cs="Times New Roman"/>
                <w:b/>
                <w:bCs/>
                <w:color w:val="000000"/>
                <w:kern w:val="0"/>
                <w:sz w:val="21"/>
                <w:szCs w:val="21"/>
                <w:lang w:bidi="ar"/>
              </w:rPr>
              <w:fldChar w:fldCharType="separate"/>
            </w:r>
            <w:r>
              <w:rPr>
                <w:rFonts w:hint="default" w:ascii="Times New Roman" w:hAnsi="Times New Roman" w:eastAsia="宋体" w:cs="Times New Roman"/>
                <w:b/>
                <w:bCs/>
                <w:sz w:val="21"/>
                <w:szCs w:val="21"/>
              </w:rPr>
              <w:t>②</w:t>
            </w:r>
            <w:r>
              <w:rPr>
                <w:rFonts w:hint="default" w:ascii="Times New Roman" w:hAnsi="Times New Roman" w:eastAsia="宋体" w:cs="Times New Roman"/>
                <w:b/>
                <w:bCs/>
                <w:color w:val="000000"/>
                <w:kern w:val="0"/>
                <w:sz w:val="21"/>
                <w:szCs w:val="21"/>
                <w:lang w:bidi="ar"/>
              </w:rPr>
              <w:fldChar w:fldCharType="end"/>
            </w:r>
            <w:r>
              <w:rPr>
                <w:rFonts w:hint="default" w:ascii="Times New Roman" w:hAnsi="Times New Roman" w:eastAsia="宋体" w:cs="Times New Roman"/>
                <w:b/>
                <w:bCs/>
                <w:color w:val="000000"/>
                <w:kern w:val="0"/>
                <w:sz w:val="21"/>
                <w:szCs w:val="21"/>
                <w:lang w:bidi="ar"/>
              </w:rPr>
              <w:t>建筑施工</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施工顺序为：施工准备→基础开挖→地基处理→基础混凝土浇筑→墙体砌筑→混凝土柱→梁、楼板浇筑→室内外装修及给排水系统施工→电气设备就位安装调试。</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3 \* GB3 \* MERGEFORMAT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③</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电气设备的安装</w:t>
            </w:r>
          </w:p>
          <w:p>
            <w:pPr>
              <w:spacing w:line="360" w:lineRule="auto"/>
              <w:ind w:firstLine="420" w:firstLineChars="200"/>
              <w:rPr>
                <w:rFonts w:hint="eastAsia" w:ascii="Times New Roman" w:hAnsi="Times New Roman" w:cs="Times New Roman"/>
                <w:sz w:val="21"/>
                <w:szCs w:val="21"/>
                <w:lang w:eastAsia="zh-CN"/>
              </w:rPr>
            </w:pPr>
            <w:r>
              <w:rPr>
                <w:rFonts w:hint="default" w:ascii="Times New Roman" w:hAnsi="Times New Roman" w:eastAsia="宋体" w:cs="Times New Roman"/>
                <w:sz w:val="21"/>
                <w:szCs w:val="21"/>
              </w:rPr>
              <w:t>安装程序为：施工准备→基础检查→设备开箱检查→起吊→就位→附件安装→试运行</w:t>
            </w:r>
            <w:r>
              <w:rPr>
                <w:rFonts w:hint="eastAsia" w:ascii="Times New Roman" w:hAnsi="Times New Roman" w:cs="Times New Roman"/>
                <w:sz w:val="21"/>
                <w:szCs w:val="21"/>
                <w:lang w:eastAsia="zh-CN"/>
              </w:rPr>
              <w:t>。</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（8）施工总进度</w:t>
            </w:r>
          </w:p>
          <w:p>
            <w:pPr>
              <w:spacing w:line="360" w:lineRule="auto"/>
              <w:ind w:firstLine="420" w:firstLineChars="20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工程建设总工期为8个月。</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（9）人员安排</w:t>
            </w:r>
          </w:p>
          <w:p>
            <w:pPr>
              <w:spacing w:line="360" w:lineRule="auto"/>
              <w:ind w:firstLine="420" w:firstLineChars="200"/>
              <w:rPr>
                <w:rFonts w:hint="eastAsia" w:ascii="宋体" w:hAnsi="宋体" w:eastAsia="宋体" w:cs="宋体"/>
                <w:kern w:val="0"/>
                <w:sz w:val="21"/>
                <w:szCs w:val="21"/>
                <w:lang w:eastAsia="zh-CN"/>
              </w:rPr>
            </w:pPr>
            <w:r>
              <w:rPr>
                <w:rFonts w:hint="default" w:ascii="Times New Roman" w:hAnsi="Times New Roman" w:eastAsia="宋体" w:cs="Times New Roman"/>
                <w:b w:val="0"/>
                <w:bCs w:val="0"/>
                <w:sz w:val="21"/>
                <w:szCs w:val="21"/>
              </w:rPr>
              <w:t>施工人员定额60人，住宿依托施工临建场地，临建场地不设置食堂，就近村镇自行解决。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710"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其他</w:t>
            </w:r>
          </w:p>
        </w:tc>
        <w:tc>
          <w:tcPr>
            <w:tcW w:w="8380" w:type="dxa"/>
            <w:noWrap w:val="0"/>
            <w:vAlign w:val="bottom"/>
          </w:tcPr>
          <w:p>
            <w:pPr>
              <w:numPr>
                <w:ilvl w:val="0"/>
                <w:numId w:val="2"/>
              </w:numPr>
              <w:snapToGrid w:val="0"/>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项目背景及由来</w:t>
            </w:r>
          </w:p>
          <w:p>
            <w:pPr>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能是清洁、可再生能源，大规模的风能开发可以有效缓解能源紧张、调整能源结构、减少环境污染，是一种重要的可再生能源开发利用途径。大荔县国顺新能源有限公司拟在陕西省渭南市大荔县范家镇和两宜镇新建分散式风电项目，本项目海拔高程352m~462m，场地地貌单元主要为平原地形，属北温带大陆性气候，风能资源相对较丰富。</w:t>
            </w:r>
          </w:p>
          <w:p>
            <w:pPr>
              <w:snapToGrid w:val="0"/>
              <w:spacing w:line="360" w:lineRule="auto"/>
              <w:ind w:firstLine="420" w:firstLineChars="200"/>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大荔县国顺新能源有限公司拟投资24000万元建设此项目，装机容量为30MW，规划安装12台单机容量为2.5MW的风力发电机组，并新建一座35kV开关站，预计年上网电量为71614.32MW</w:t>
            </w:r>
            <w:r>
              <w:rPr>
                <w:rFonts w:hint="default" w:ascii="Times New Roman" w:hAnsi="Times New Roman" w:eastAsia="宋体" w:cs="Times New Roman"/>
                <w:b/>
                <w:bCs/>
                <w:sz w:val="21"/>
                <w:szCs w:val="21"/>
              </w:rPr>
              <w:t>·</w:t>
            </w:r>
            <w:r>
              <w:rPr>
                <w:rFonts w:hint="default" w:ascii="Times New Roman" w:hAnsi="Times New Roman" w:eastAsia="宋体" w:cs="Times New Roman"/>
                <w:sz w:val="21"/>
                <w:szCs w:val="21"/>
              </w:rPr>
              <w:t>h。本项目无需修建进场道路，均依托现有道路作为进风场道路。</w:t>
            </w:r>
            <w:r>
              <w:rPr>
                <w:rFonts w:hint="default" w:ascii="Times New Roman" w:hAnsi="Times New Roman" w:eastAsia="宋体" w:cs="Times New Roman"/>
                <w:sz w:val="21"/>
                <w:szCs w:val="21"/>
                <w:highlight w:val="none"/>
              </w:rPr>
              <w:t>（进场道路图见附图</w:t>
            </w:r>
            <w:r>
              <w:rPr>
                <w:rFonts w:hint="eastAsia"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）场内交通道路在充分利用现有道路的情况下，经布置风场内需新</w:t>
            </w:r>
            <w:r>
              <w:rPr>
                <w:rFonts w:hint="default" w:ascii="Times New Roman" w:hAnsi="Times New Roman" w:eastAsia="宋体" w:cs="Times New Roman"/>
                <w:sz w:val="21"/>
                <w:szCs w:val="21"/>
              </w:rPr>
              <w:t>建检修道路1.9km，需对现有土路拓宽长度约9.3km，需拓宽现有村道长度约11.4km，道路路面宽度均为4m，路基宽度5m。拟建35kV线路由各风机相变电缆出线，至电缆终端塔后改架空至拟建35kV开关站，电缆进35kV配电室，线路全长17.85km。本项目总占地135.99亩，其中永久性占地9.94亩，临时占地126.05亩</w:t>
            </w:r>
            <w:r>
              <w:rPr>
                <w:rFonts w:hint="eastAsia" w:ascii="Times New Roman" w:hAnsi="Times New Roman" w:eastAsia="宋体" w:cs="Times New Roman"/>
                <w:sz w:val="21"/>
                <w:szCs w:val="21"/>
                <w:lang w:eastAsia="zh-CN"/>
              </w:rPr>
              <w:t>。</w:t>
            </w:r>
          </w:p>
          <w:p>
            <w:pPr>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本次环评阶段，根据现场调查，本工程尚未开工建设。</w:t>
            </w:r>
          </w:p>
          <w:p>
            <w:pPr>
              <w:numPr>
                <w:ilvl w:val="0"/>
                <w:numId w:val="2"/>
              </w:numPr>
              <w:snapToGrid w:val="0"/>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环评与委托</w:t>
            </w:r>
          </w:p>
          <w:p>
            <w:pPr>
              <w:snapToGrid w:val="0"/>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根据《中华人民共和国环境影响评价法》、《建设项目环境保护管理条例》、《建设项目环境影响评价分类管理名录》（2018 年修订），本项目属于《建设项目环境影响评价分类管理名录》中“三 十一、电力、热力生产和供应业91其他能源发电”，该项目风电场区域不涉及自然保护区、风景名胜区、世界文化和自然遗产地、饮用水水源保护区等敏感区，故该项目应编制环境影响评价报告表。2020年11月17日，大荔县国顺新能源有限公司委托西安核清环保科技有限公司实施该项目环境影响评价（委托书见附件 1）。接受委托后，我单位组织技术人员对拟建场地及周围现状进行了踏勘，收集了有关技术资料，在此基础上按照环境影响评价导则的相关要求，编制完成了《国顺新能源渭南市大荔县范家两宜分散式风电项目</w:t>
            </w:r>
            <w:r>
              <w:rPr>
                <w:rFonts w:hint="default" w:ascii="Times New Roman" w:hAnsi="Times New Roman" w:eastAsia="宋体" w:cs="Times New Roman"/>
                <w:sz w:val="21"/>
                <w:szCs w:val="21"/>
                <w:lang w:val="en-US" w:eastAsia="zh-CN"/>
              </w:rPr>
              <w:t>环境影响评价报告表</w:t>
            </w:r>
            <w:r>
              <w:rPr>
                <w:rFonts w:hint="default" w:ascii="Times New Roman" w:hAnsi="Times New Roman" w:eastAsia="宋体" w:cs="Times New Roman"/>
                <w:sz w:val="21"/>
                <w:szCs w:val="21"/>
              </w:rPr>
              <w:t>》。</w:t>
            </w:r>
          </w:p>
          <w:p>
            <w:pPr>
              <w:adjustRightInd w:val="0"/>
              <w:snapToGrid w:val="0"/>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本次项目建设开关站为35kV开关站，不涉及辐射类环境影响评价。</w:t>
            </w: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center"/>
              <w:rPr>
                <w:rFonts w:hint="default" w:ascii="Times New Roman" w:hAnsi="Times New Roman" w:eastAsia="宋体" w:cs="Times New Roman"/>
                <w:sz w:val="21"/>
                <w:szCs w:val="21"/>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cs="宋体"/>
                <w:kern w:val="0"/>
                <w:sz w:val="21"/>
                <w:szCs w:val="21"/>
                <w:lang w:eastAsia="zh-CN"/>
              </w:rPr>
            </w:pPr>
          </w:p>
          <w:p>
            <w:pPr>
              <w:adjustRightInd w:val="0"/>
              <w:snapToGrid w:val="0"/>
              <w:jc w:val="both"/>
              <w:rPr>
                <w:rFonts w:hint="eastAsia" w:ascii="宋体" w:hAnsi="宋体" w:eastAsia="宋体" w:cs="宋体"/>
                <w:kern w:val="0"/>
                <w:sz w:val="21"/>
                <w:szCs w:val="21"/>
                <w:lang w:eastAsia="zh-CN"/>
              </w:rPr>
            </w:pPr>
            <w:r>
              <w:rPr>
                <w:rFonts w:hint="eastAsia" w:ascii="宋体" w:hAnsi="宋体" w:cs="宋体"/>
                <w:kern w:val="0"/>
                <w:sz w:val="21"/>
                <w:szCs w:val="21"/>
                <w:lang w:eastAsia="zh-CN"/>
              </w:rPr>
              <w:t>。</w:t>
            </w:r>
          </w:p>
        </w:tc>
      </w:tr>
    </w:tbl>
    <w:p>
      <w:pPr>
        <w:pStyle w:val="2"/>
        <w:rPr>
          <w:rFonts w:hint="eastAsia"/>
          <w:sz w:val="21"/>
          <w:szCs w:val="21"/>
        </w:rPr>
        <w:sectPr>
          <w:pgSz w:w="11906" w:h="16838"/>
          <w:pgMar w:top="1440" w:right="1800" w:bottom="1440" w:left="1800" w:header="851" w:footer="992" w:gutter="0"/>
          <w:pgNumType w:fmt="decimal"/>
          <w:cols w:space="425" w:num="1"/>
          <w:docGrid w:type="lines" w:linePitch="312" w:charSpace="0"/>
        </w:sectPr>
      </w:pPr>
    </w:p>
    <w:p>
      <w:pPr>
        <w:pStyle w:val="15"/>
        <w:jc w:val="center"/>
        <w:outlineLvl w:val="0"/>
        <w:rPr>
          <w:rFonts w:hint="eastAsia" w:ascii="黑体" w:hAnsi="黑体" w:eastAsia="黑体" w:cs="Times New Roman"/>
          <w:snapToGrid w:val="0"/>
          <w:sz w:val="30"/>
          <w:szCs w:val="30"/>
        </w:rPr>
      </w:pPr>
      <w:r>
        <w:rPr>
          <w:rFonts w:hint="eastAsia" w:ascii="黑体" w:hAnsi="黑体" w:eastAsia="黑体" w:cs="Times New Roman"/>
          <w:snapToGrid w:val="0"/>
          <w:sz w:val="30"/>
          <w:szCs w:val="30"/>
        </w:rPr>
        <w:t>三、生态环境现状、保护目标及评价标准</w:t>
      </w:r>
    </w:p>
    <w:tbl>
      <w:tblPr>
        <w:tblStyle w:val="17"/>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2" w:hRule="atLeast"/>
          <w:jc w:val="center"/>
        </w:trPr>
        <w:tc>
          <w:tcPr>
            <w:tcW w:w="904"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生态环境现状</w:t>
            </w:r>
          </w:p>
        </w:tc>
        <w:tc>
          <w:tcPr>
            <w:tcW w:w="8253" w:type="dxa"/>
            <w:noWrap w:val="0"/>
            <w:vAlign w:val="center"/>
          </w:tcPr>
          <w:p>
            <w:pPr>
              <w:spacing w:line="360" w:lineRule="auto"/>
              <w:jc w:val="left"/>
              <w:rPr>
                <w:b/>
                <w:bCs/>
                <w:sz w:val="21"/>
                <w:szCs w:val="21"/>
              </w:rPr>
            </w:pPr>
            <w:r>
              <w:rPr>
                <w:rFonts w:hint="eastAsia"/>
                <w:b/>
                <w:bCs/>
                <w:sz w:val="21"/>
                <w:szCs w:val="21"/>
                <w:lang w:eastAsia="zh-CN"/>
              </w:rPr>
              <w:t>一、</w:t>
            </w:r>
            <w:r>
              <w:rPr>
                <w:b/>
                <w:bCs/>
                <w:sz w:val="21"/>
                <w:szCs w:val="21"/>
              </w:rPr>
              <w:t>环境空气质量现状</w:t>
            </w:r>
          </w:p>
          <w:p>
            <w:pPr>
              <w:adjustRightInd w:val="0"/>
              <w:snapToGrid w:val="0"/>
              <w:spacing w:line="360" w:lineRule="auto"/>
              <w:ind w:firstLine="420" w:firstLineChars="200"/>
              <w:rPr>
                <w:sz w:val="21"/>
                <w:szCs w:val="21"/>
              </w:rPr>
            </w:pPr>
            <w:r>
              <w:rPr>
                <w:sz w:val="21"/>
                <w:szCs w:val="21"/>
              </w:rPr>
              <w:t>环境空气质量达标区判定</w:t>
            </w:r>
          </w:p>
          <w:p>
            <w:pPr>
              <w:adjustRightInd w:val="0"/>
              <w:snapToGrid w:val="0"/>
              <w:spacing w:line="360" w:lineRule="auto"/>
              <w:ind w:firstLine="420" w:firstLineChars="200"/>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本项目所在地为二类功能区，环境空气质量标准执行《环境空气质量标准》（GB 3095-2012）二级标准要求。根据陕西省生态环境厅办公室（2020年1月23日）发布的《环保快报（2020-4）2019年12月及1~12月全省环境空气质量状况》中大荔县环境空气6个监测数据，见表3-1。</w:t>
            </w:r>
          </w:p>
          <w:p>
            <w:pPr>
              <w:adjustRightInd w:val="0"/>
              <w:snapToGrid w:val="0"/>
              <w:spacing w:line="360" w:lineRule="auto"/>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表3-1  项目所在地达标区判定情况一览表</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212"/>
              <w:gridCol w:w="898"/>
              <w:gridCol w:w="798"/>
              <w:gridCol w:w="95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6"/>
                    <w:widowControl/>
                    <w:adjustRightInd w:val="0"/>
                    <w:snapToGrid w:val="0"/>
                    <w:spacing w:line="240" w:lineRule="auto"/>
                    <w:ind w:right="-105" w:rightChars="-50" w:firstLine="0" w:firstLineChars="0"/>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sz w:val="21"/>
                      <w:szCs w:val="21"/>
                    </w:rPr>
                    <w:t>污染物</w:t>
                  </w:r>
                </w:p>
              </w:tc>
              <w:tc>
                <w:tcPr>
                  <w:tcW w:w="2000" w:type="pct"/>
                  <w:vAlign w:val="center"/>
                </w:tcPr>
                <w:p>
                  <w:pPr>
                    <w:pStyle w:val="6"/>
                    <w:widowControl/>
                    <w:adjustRightInd w:val="0"/>
                    <w:snapToGrid w:val="0"/>
                    <w:spacing w:line="240" w:lineRule="auto"/>
                    <w:ind w:firstLine="482"/>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年评价指标</w:t>
                  </w:r>
                </w:p>
              </w:tc>
              <w:tc>
                <w:tcPr>
                  <w:tcW w:w="559" w:type="pct"/>
                  <w:vAlign w:val="center"/>
                </w:tcPr>
                <w:p>
                  <w:pPr>
                    <w:pStyle w:val="6"/>
                    <w:widowControl/>
                    <w:adjustRightInd w:val="0"/>
                    <w:snapToGrid w:val="0"/>
                    <w:spacing w:line="240" w:lineRule="auto"/>
                    <w:ind w:left="-105" w:leftChars="-50" w:right="-105" w:rightChars="-50"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现状浓度</w:t>
                  </w:r>
                </w:p>
              </w:tc>
              <w:tc>
                <w:tcPr>
                  <w:tcW w:w="497" w:type="pct"/>
                  <w:vAlign w:val="center"/>
                </w:tcPr>
                <w:p>
                  <w:pPr>
                    <w:pStyle w:val="6"/>
                    <w:widowControl/>
                    <w:adjustRightInd w:val="0"/>
                    <w:snapToGrid w:val="0"/>
                    <w:spacing w:line="240" w:lineRule="auto"/>
                    <w:ind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标准值</w:t>
                  </w:r>
                </w:p>
              </w:tc>
              <w:tc>
                <w:tcPr>
                  <w:tcW w:w="593" w:type="pct"/>
                  <w:vAlign w:val="center"/>
                </w:tcPr>
                <w:p>
                  <w:pPr>
                    <w:pStyle w:val="6"/>
                    <w:widowControl/>
                    <w:adjustRightInd w:val="0"/>
                    <w:snapToGrid w:val="0"/>
                    <w:spacing w:line="240" w:lineRule="auto"/>
                    <w:ind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占标率%</w:t>
                  </w:r>
                </w:p>
              </w:tc>
              <w:tc>
                <w:tcPr>
                  <w:tcW w:w="590" w:type="pct"/>
                  <w:vAlign w:val="center"/>
                </w:tcPr>
                <w:p>
                  <w:pPr>
                    <w:pStyle w:val="6"/>
                    <w:widowControl/>
                    <w:adjustRightInd w:val="0"/>
                    <w:snapToGrid w:val="0"/>
                    <w:spacing w:line="240" w:lineRule="auto"/>
                    <w:ind w:firstLine="0" w:firstLineChars="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position w:val="2"/>
                      <w:sz w:val="21"/>
                      <w:szCs w:val="21"/>
                    </w:rPr>
                    <w:t>PM</w:t>
                  </w:r>
                  <w:r>
                    <w:rPr>
                      <w:rFonts w:hint="default" w:ascii="Times New Roman" w:hAnsi="Times New Roman" w:eastAsia="宋体" w:cs="Times New Roman"/>
                      <w:color w:val="000000"/>
                      <w:sz w:val="21"/>
                      <w:szCs w:val="21"/>
                      <w:vertAlign w:val="subscript"/>
                    </w:rPr>
                    <w:t>10</w:t>
                  </w:r>
                </w:p>
              </w:tc>
              <w:tc>
                <w:tcPr>
                  <w:tcW w:w="200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年平均质量浓度</w:t>
                  </w:r>
                </w:p>
              </w:tc>
              <w:tc>
                <w:tcPr>
                  <w:tcW w:w="559"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94</w:t>
                  </w:r>
                </w:p>
              </w:tc>
              <w:tc>
                <w:tcPr>
                  <w:tcW w:w="497"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70</w:t>
                  </w:r>
                </w:p>
              </w:tc>
              <w:tc>
                <w:tcPr>
                  <w:tcW w:w="593" w:type="pct"/>
                  <w:vAlign w:val="center"/>
                </w:tcPr>
                <w:p>
                  <w:pPr>
                    <w:pStyle w:val="21"/>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134</w:t>
                  </w:r>
                </w:p>
              </w:tc>
              <w:tc>
                <w:tcPr>
                  <w:tcW w:w="59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position w:val="2"/>
                      <w:sz w:val="21"/>
                      <w:szCs w:val="21"/>
                    </w:rPr>
                    <w:t>PM</w:t>
                  </w:r>
                  <w:r>
                    <w:rPr>
                      <w:rFonts w:hint="default" w:ascii="Times New Roman" w:hAnsi="Times New Roman" w:eastAsia="宋体" w:cs="Times New Roman"/>
                      <w:color w:val="000000"/>
                      <w:sz w:val="21"/>
                      <w:szCs w:val="21"/>
                      <w:vertAlign w:val="subscript"/>
                    </w:rPr>
                    <w:t>2.5</w:t>
                  </w:r>
                </w:p>
              </w:tc>
              <w:tc>
                <w:tcPr>
                  <w:tcW w:w="200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年平均质量浓度</w:t>
                  </w:r>
                </w:p>
              </w:tc>
              <w:tc>
                <w:tcPr>
                  <w:tcW w:w="559"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58</w:t>
                  </w:r>
                </w:p>
              </w:tc>
              <w:tc>
                <w:tcPr>
                  <w:tcW w:w="497"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35</w:t>
                  </w:r>
                </w:p>
              </w:tc>
              <w:tc>
                <w:tcPr>
                  <w:tcW w:w="593" w:type="pct"/>
                  <w:vAlign w:val="center"/>
                </w:tcPr>
                <w:p>
                  <w:pPr>
                    <w:pStyle w:val="21"/>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166</w:t>
                  </w:r>
                </w:p>
              </w:tc>
              <w:tc>
                <w:tcPr>
                  <w:tcW w:w="59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position w:val="2"/>
                      <w:sz w:val="21"/>
                      <w:szCs w:val="21"/>
                    </w:rPr>
                    <w:t>SO</w:t>
                  </w:r>
                  <w:r>
                    <w:rPr>
                      <w:rFonts w:hint="default" w:ascii="Times New Roman" w:hAnsi="Times New Roman" w:eastAsia="宋体" w:cs="Times New Roman"/>
                      <w:color w:val="000000"/>
                      <w:sz w:val="21"/>
                      <w:szCs w:val="21"/>
                      <w:vertAlign w:val="subscript"/>
                    </w:rPr>
                    <w:t>2</w:t>
                  </w:r>
                </w:p>
              </w:tc>
              <w:tc>
                <w:tcPr>
                  <w:tcW w:w="200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年平均质量浓度</w:t>
                  </w:r>
                </w:p>
              </w:tc>
              <w:tc>
                <w:tcPr>
                  <w:tcW w:w="559"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13</w:t>
                  </w:r>
                </w:p>
              </w:tc>
              <w:tc>
                <w:tcPr>
                  <w:tcW w:w="497"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60</w:t>
                  </w:r>
                </w:p>
              </w:tc>
              <w:tc>
                <w:tcPr>
                  <w:tcW w:w="593" w:type="pct"/>
                  <w:vAlign w:val="center"/>
                </w:tcPr>
                <w:p>
                  <w:pPr>
                    <w:pStyle w:val="21"/>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21.67</w:t>
                  </w:r>
                </w:p>
              </w:tc>
              <w:tc>
                <w:tcPr>
                  <w:tcW w:w="59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position w:val="2"/>
                      <w:sz w:val="21"/>
                      <w:szCs w:val="21"/>
                    </w:rPr>
                    <w:t>NO</w:t>
                  </w:r>
                  <w:r>
                    <w:rPr>
                      <w:rFonts w:hint="default" w:ascii="Times New Roman" w:hAnsi="Times New Roman" w:eastAsia="宋体" w:cs="Times New Roman"/>
                      <w:color w:val="000000"/>
                      <w:sz w:val="21"/>
                      <w:szCs w:val="21"/>
                      <w:vertAlign w:val="subscript"/>
                    </w:rPr>
                    <w:t>2</w:t>
                  </w:r>
                </w:p>
              </w:tc>
              <w:tc>
                <w:tcPr>
                  <w:tcW w:w="200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年平均质量浓度</w:t>
                  </w:r>
                </w:p>
              </w:tc>
              <w:tc>
                <w:tcPr>
                  <w:tcW w:w="559"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24</w:t>
                  </w:r>
                </w:p>
              </w:tc>
              <w:tc>
                <w:tcPr>
                  <w:tcW w:w="497"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40</w:t>
                  </w:r>
                </w:p>
              </w:tc>
              <w:tc>
                <w:tcPr>
                  <w:tcW w:w="593" w:type="pct"/>
                  <w:vAlign w:val="center"/>
                </w:tcPr>
                <w:p>
                  <w:pPr>
                    <w:pStyle w:val="21"/>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60.00</w:t>
                  </w:r>
                </w:p>
              </w:tc>
              <w:tc>
                <w:tcPr>
                  <w:tcW w:w="59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CO</w:t>
                  </w:r>
                </w:p>
              </w:tc>
              <w:tc>
                <w:tcPr>
                  <w:tcW w:w="200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24小时平均浓度第95百分位数</w:t>
                  </w:r>
                </w:p>
              </w:tc>
              <w:tc>
                <w:tcPr>
                  <w:tcW w:w="559"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2400</w:t>
                  </w:r>
                </w:p>
              </w:tc>
              <w:tc>
                <w:tcPr>
                  <w:tcW w:w="497"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4000</w:t>
                  </w:r>
                </w:p>
              </w:tc>
              <w:tc>
                <w:tcPr>
                  <w:tcW w:w="593" w:type="pct"/>
                  <w:vAlign w:val="center"/>
                </w:tcPr>
                <w:p>
                  <w:pPr>
                    <w:pStyle w:val="21"/>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60.00</w:t>
                  </w:r>
                </w:p>
              </w:tc>
              <w:tc>
                <w:tcPr>
                  <w:tcW w:w="59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position w:val="2"/>
                      <w:sz w:val="21"/>
                      <w:szCs w:val="21"/>
                    </w:rPr>
                    <w:t>O</w:t>
                  </w:r>
                  <w:r>
                    <w:rPr>
                      <w:rFonts w:hint="default" w:ascii="Times New Roman" w:hAnsi="Times New Roman" w:eastAsia="宋体" w:cs="Times New Roman"/>
                      <w:color w:val="000000"/>
                      <w:sz w:val="21"/>
                      <w:szCs w:val="21"/>
                      <w:vertAlign w:val="subscript"/>
                    </w:rPr>
                    <w:t>3</w:t>
                  </w:r>
                </w:p>
              </w:tc>
              <w:tc>
                <w:tcPr>
                  <w:tcW w:w="200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日最大8小时平均浓度第90百分位数</w:t>
                  </w:r>
                </w:p>
              </w:tc>
              <w:tc>
                <w:tcPr>
                  <w:tcW w:w="559"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157</w:t>
                  </w:r>
                </w:p>
              </w:tc>
              <w:tc>
                <w:tcPr>
                  <w:tcW w:w="497"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160</w:t>
                  </w:r>
                </w:p>
              </w:tc>
              <w:tc>
                <w:tcPr>
                  <w:tcW w:w="593" w:type="pct"/>
                  <w:vAlign w:val="center"/>
                </w:tcPr>
                <w:p>
                  <w:pPr>
                    <w:pStyle w:val="21"/>
                    <w:adjustRightInd w:val="0"/>
                    <w:snapToGrid w:val="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98.13</w:t>
                  </w:r>
                </w:p>
              </w:tc>
              <w:tc>
                <w:tcPr>
                  <w:tcW w:w="590" w:type="pct"/>
                  <w:vAlign w:val="center"/>
                </w:tcPr>
                <w:p>
                  <w:pPr>
                    <w:pStyle w:val="21"/>
                    <w:adjustRightInd w:val="0"/>
                    <w:snapToGrid w:val="0"/>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达标</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由陕西省生态环境厅办公室2020年1月23日发布《环保快报》中大荔县环境空气6个监测数据可以看出，评价区域SO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、NO</w:t>
            </w:r>
            <w:r>
              <w:rPr>
                <w:rFonts w:hint="default" w:ascii="Times New Roman" w:hAnsi="Times New Roman" w:eastAsia="宋体" w:cs="Times New Roman"/>
                <w:color w:val="000000"/>
                <w:sz w:val="21"/>
                <w:szCs w:val="21"/>
                <w:vertAlign w:val="subscript"/>
              </w:rPr>
              <w:t>2</w:t>
            </w:r>
            <w:r>
              <w:rPr>
                <w:rFonts w:hint="default" w:ascii="Times New Roman" w:hAnsi="Times New Roman" w:eastAsia="宋体" w:cs="Times New Roman"/>
                <w:color w:val="000000"/>
                <w:sz w:val="21"/>
                <w:szCs w:val="21"/>
              </w:rPr>
              <w:t>年平均质量浓度、CO24小时平均浓度、O</w:t>
            </w:r>
            <w:r>
              <w:rPr>
                <w:rFonts w:hint="default" w:ascii="Times New Roman" w:hAnsi="Times New Roman" w:eastAsia="宋体" w:cs="Times New Roman"/>
                <w:color w:val="000000"/>
                <w:sz w:val="21"/>
                <w:szCs w:val="21"/>
                <w:vertAlign w:val="subscript"/>
              </w:rPr>
              <w:t>3</w:t>
            </w:r>
            <w:r>
              <w:rPr>
                <w:rFonts w:hint="default" w:ascii="Times New Roman" w:hAnsi="Times New Roman" w:eastAsia="宋体" w:cs="Times New Roman"/>
                <w:color w:val="000000"/>
                <w:sz w:val="21"/>
                <w:szCs w:val="21"/>
              </w:rPr>
              <w:t>日最大8小时平均浓度满足《环境空气质量标准》（GB3095-2012）中二类标准限值的要求，PM</w:t>
            </w:r>
            <w:r>
              <w:rPr>
                <w:rFonts w:hint="default" w:ascii="Times New Roman" w:hAnsi="Times New Roman" w:eastAsia="宋体" w:cs="Times New Roman"/>
                <w:color w:val="000000"/>
                <w:sz w:val="21"/>
                <w:szCs w:val="21"/>
                <w:vertAlign w:val="subscript"/>
              </w:rPr>
              <w:t>2.5</w:t>
            </w:r>
            <w:r>
              <w:rPr>
                <w:rFonts w:hint="default" w:ascii="Times New Roman" w:hAnsi="Times New Roman" w:eastAsia="宋体" w:cs="Times New Roman"/>
                <w:color w:val="000000"/>
                <w:sz w:val="21"/>
                <w:szCs w:val="21"/>
              </w:rPr>
              <w:t>、PM</w:t>
            </w:r>
            <w:r>
              <w:rPr>
                <w:rFonts w:hint="default" w:ascii="Times New Roman" w:hAnsi="Times New Roman" w:eastAsia="宋体" w:cs="Times New Roman"/>
                <w:color w:val="000000"/>
                <w:sz w:val="21"/>
                <w:szCs w:val="21"/>
                <w:vertAlign w:val="subscript"/>
              </w:rPr>
              <w:t>10</w:t>
            </w:r>
            <w:r>
              <w:rPr>
                <w:rFonts w:hint="default" w:ascii="Times New Roman" w:hAnsi="Times New Roman" w:eastAsia="宋体" w:cs="Times New Roman"/>
                <w:color w:val="000000"/>
                <w:sz w:val="21"/>
                <w:szCs w:val="21"/>
              </w:rPr>
              <w:t>年平均质量浓度不满足《环境空气质量标准》（GB3095-2012）中二类标准限值的要求。本项目所在区域属于不达标区。</w:t>
            </w:r>
          </w:p>
          <w:p>
            <w:pPr>
              <w:adjustRightInd w:val="0"/>
              <w:snapToGrid w:val="0"/>
              <w:spacing w:line="360" w:lineRule="auto"/>
              <w:ind w:firstLine="422" w:firstLineChars="200"/>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二、声环境质量现状</w:t>
            </w:r>
          </w:p>
          <w:p>
            <w:pPr>
              <w:pStyle w:val="13"/>
              <w:adjustRightInd w:val="0"/>
              <w:snapToGrid w:val="0"/>
              <w:spacing w:line="360" w:lineRule="auto"/>
              <w:ind w:firstLine="420" w:firstLineChars="200"/>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本项目声环境质量现状委托陕西安迅环境检测有限公司于2020年11月28日~29日对项目地12台风机、开关站厂界四周外1m、西高城村敏感点的声环境质量进行监测，监测结果见表3-2。</w:t>
            </w:r>
            <w:r>
              <w:rPr>
                <w:rFonts w:hint="default" w:ascii="Times New Roman" w:hAnsi="Times New Roman" w:eastAsia="宋体" w:cs="Times New Roman"/>
                <w:color w:val="000000"/>
                <w:sz w:val="21"/>
                <w:szCs w:val="21"/>
                <w:lang w:val="en-US" w:eastAsia="zh-CN"/>
              </w:rPr>
              <w:t>监测点位图见附图3。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表3-2   声环境质量监测结果表    单位dB（A）</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1415"/>
              <w:gridCol w:w="1412"/>
              <w:gridCol w:w="1412"/>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Merge w:val="restart"/>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监测点位</w:t>
                  </w:r>
                </w:p>
              </w:tc>
              <w:tc>
                <w:tcPr>
                  <w:tcW w:w="3217" w:type="dxa"/>
                  <w:gridSpan w:val="2"/>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2020年11月28日</w:t>
                  </w:r>
                </w:p>
              </w:tc>
              <w:tc>
                <w:tcPr>
                  <w:tcW w:w="3217" w:type="dxa"/>
                  <w:gridSpan w:val="2"/>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2020年11月28日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Merge w:val="continue"/>
                  <w:vAlign w:val="center"/>
                </w:tcPr>
                <w:p>
                  <w:pPr>
                    <w:widowControl/>
                    <w:jc w:val="left"/>
                    <w:rPr>
                      <w:rFonts w:hint="default" w:ascii="Times New Roman" w:hAnsi="Times New Roman" w:eastAsia="宋体" w:cs="Times New Roman"/>
                      <w:b/>
                      <w:bCs/>
                      <w:color w:val="000000"/>
                      <w:sz w:val="21"/>
                      <w:szCs w:val="21"/>
                    </w:rPr>
                  </w:pPr>
                </w:p>
              </w:tc>
              <w:tc>
                <w:tcPr>
                  <w:tcW w:w="1610"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昼间</w:t>
                  </w:r>
                </w:p>
              </w:tc>
              <w:tc>
                <w:tcPr>
                  <w:tcW w:w="1607"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夜间</w:t>
                  </w:r>
                </w:p>
              </w:tc>
              <w:tc>
                <w:tcPr>
                  <w:tcW w:w="1607"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昼间</w:t>
                  </w:r>
                </w:p>
              </w:tc>
              <w:tc>
                <w:tcPr>
                  <w:tcW w:w="1610"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1#（开关站东侧）</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10"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2#（开关站南侧）</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607"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42</w:t>
                  </w:r>
                </w:p>
              </w:tc>
              <w:tc>
                <w:tcPr>
                  <w:tcW w:w="1610"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3#（开关站西侧）</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10"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4#（开关站北侧）</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42</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607"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10"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5#（西高城村敏感点）</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45</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45</w:t>
                  </w:r>
                </w:p>
              </w:tc>
              <w:tc>
                <w:tcPr>
                  <w:tcW w:w="1610"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6#（1#风机）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607"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10" w:type="dxa"/>
                  <w:vAlign w:val="center"/>
                </w:tcPr>
                <w:p>
                  <w:pPr>
                    <w:widowControl/>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7#（2#风机）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8#（3#风机）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42</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42</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9#（4#风机）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10#（5#风机）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11#（6#风机）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42</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12#（7#风机）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13#（8#风机）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42</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42</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14#（9#风机）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45</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45</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15#（10#风机）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40</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39</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16#（11#风机）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42</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38</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17#（12#风机）</w:t>
                  </w:r>
                </w:p>
              </w:tc>
              <w:tc>
                <w:tcPr>
                  <w:tcW w:w="1610"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41</w:t>
                  </w:r>
                </w:p>
              </w:tc>
              <w:tc>
                <w:tcPr>
                  <w:tcW w:w="1607" w:type="dxa"/>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37</w:t>
                  </w:r>
                </w:p>
              </w:tc>
              <w:tc>
                <w:tcPr>
                  <w:tcW w:w="1607"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41</w:t>
                  </w:r>
                </w:p>
              </w:tc>
              <w:tc>
                <w:tcPr>
                  <w:tcW w:w="1610" w:type="dxa"/>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5"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标准限值</w:t>
                  </w:r>
                </w:p>
              </w:tc>
              <w:tc>
                <w:tcPr>
                  <w:tcW w:w="1610"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60</w:t>
                  </w:r>
                </w:p>
              </w:tc>
              <w:tc>
                <w:tcPr>
                  <w:tcW w:w="1607" w:type="dxa"/>
                  <w:vAlign w:val="center"/>
                </w:tcPr>
                <w:p>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50</w:t>
                  </w:r>
                </w:p>
              </w:tc>
              <w:tc>
                <w:tcPr>
                  <w:tcW w:w="1607" w:type="dxa"/>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60</w:t>
                  </w:r>
                </w:p>
              </w:tc>
              <w:tc>
                <w:tcPr>
                  <w:tcW w:w="1610" w:type="dxa"/>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50</w:t>
                  </w:r>
                </w:p>
              </w:tc>
            </w:tr>
          </w:tbl>
          <w:p>
            <w:pPr>
              <w:adjustRightInd w:val="0"/>
              <w:snapToGrid w:val="0"/>
              <w:spacing w:line="360" w:lineRule="auto"/>
              <w:ind w:firstLine="420" w:firstLineChars="200"/>
              <w:rPr>
                <w:rFonts w:hint="default" w:ascii="Times New Roman" w:hAnsi="Times New Roman" w:eastAsia="宋体" w:cs="Times New Roman"/>
                <w:b/>
                <w:bCs/>
                <w:color w:val="000000"/>
                <w:sz w:val="21"/>
                <w:szCs w:val="21"/>
              </w:rPr>
            </w:pPr>
            <w:r>
              <w:rPr>
                <w:rFonts w:hint="default" w:ascii="Times New Roman" w:hAnsi="Times New Roman" w:eastAsia="宋体" w:cs="Times New Roman"/>
                <w:color w:val="000000"/>
                <w:sz w:val="21"/>
                <w:szCs w:val="21"/>
              </w:rPr>
              <w:t>监测结果表明，项目各监测点昼、夜声环境质量现状均达到《声环境质量标准》（GB3096-2008）中2类标准，表明项目所在地声环境质量现状良好。</w:t>
            </w:r>
            <w:r>
              <w:rPr>
                <w:rFonts w:hint="default" w:ascii="Times New Roman" w:hAnsi="Times New Roman" w:eastAsia="宋体" w:cs="Times New Roman"/>
                <w:b/>
                <w:bCs/>
                <w:color w:val="000000"/>
                <w:sz w:val="21"/>
                <w:szCs w:val="21"/>
              </w:rPr>
              <w:t>三、生态环境质量现状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kern w:val="0"/>
                <w:sz w:val="21"/>
                <w:szCs w:val="21"/>
                <w:lang w:eastAsia="zh-CN"/>
              </w:rPr>
            </w:pPr>
            <w:r>
              <w:rPr>
                <w:rFonts w:hint="default" w:ascii="Times New Roman" w:hAnsi="Times New Roman" w:eastAsia="宋体" w:cs="Times New Roman"/>
                <w:color w:val="000000"/>
                <w:sz w:val="21"/>
                <w:szCs w:val="21"/>
              </w:rPr>
              <w:t>该项目所在区域植物类型为人工绿化及农作物，人类活动对生态环境造成的不利影响主要表现在该地区植物多样性降低等。项目区内无珍稀动植物和文物保护区，无重大环境制约因素</w:t>
            </w:r>
            <w:r>
              <w:rPr>
                <w:rFonts w:hint="eastAsia" w:ascii="Times New Roman" w:hAnsi="Times New Roman" w:cs="Times New Roman"/>
                <w:color w:val="00000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904" w:type="dxa"/>
            <w:noWrap w:val="0"/>
            <w:vAlign w:val="center"/>
          </w:tcPr>
          <w:p>
            <w:pPr>
              <w:adjustRightInd w:val="0"/>
              <w:snapToGrid w:val="0"/>
              <w:jc w:val="center"/>
              <w:rPr>
                <w:rFonts w:ascii="宋体" w:hAnsi="宋体" w:cs="宋体"/>
                <w:kern w:val="0"/>
                <w:sz w:val="21"/>
                <w:szCs w:val="21"/>
              </w:rPr>
            </w:pPr>
            <w:r>
              <w:rPr>
                <w:rFonts w:hint="eastAsia" w:ascii="宋体" w:hAnsi="宋体"/>
                <w:bCs/>
                <w:sz w:val="21"/>
                <w:szCs w:val="21"/>
              </w:rPr>
              <w:t>与项目有关的原有环境污染和生态破坏问题</w:t>
            </w:r>
          </w:p>
        </w:tc>
        <w:tc>
          <w:tcPr>
            <w:tcW w:w="8253" w:type="dxa"/>
            <w:noWrap w:val="0"/>
            <w:vAlign w:val="center"/>
          </w:tcPr>
          <w:p>
            <w:pPr>
              <w:adjustRightInd w:val="0"/>
              <w:snapToGri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生态环境保护目标</w:t>
            </w:r>
          </w:p>
        </w:tc>
        <w:tc>
          <w:tcPr>
            <w:tcW w:w="8253" w:type="dxa"/>
            <w:noWrap w:val="0"/>
            <w:vAlign w:val="center"/>
          </w:tcPr>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敏感因素的界定原则，经调查本地区不属于特殊保护区、社会关注区、生态脆弱区和特殊地貌景观区。经现场调查，评价区内无重点保护文物、古迹、植物、动物及人文景观等。本项目主要保护对象为项目区附近村庄居民，周围各敏感目标基本情况见表3-</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，坐标原点为各风机或开关站的中心位置，项目敏感点分布图见附图</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w:t>
            </w:r>
          </w:p>
          <w:p>
            <w:pPr>
              <w:spacing w:line="360" w:lineRule="auto"/>
              <w:jc w:val="center"/>
              <w:rPr>
                <w:rFonts w:hint="eastAsia" w:ascii="Times New Roman" w:hAnsi="Times New Roman" w:cs="Times New Roman"/>
                <w:b/>
                <w:bCs/>
                <w:sz w:val="21"/>
                <w:szCs w:val="21"/>
                <w:lang w:val="en-US" w:eastAsia="zh-CN"/>
              </w:rPr>
            </w:pPr>
          </w:p>
          <w:p>
            <w:pPr>
              <w:spacing w:line="360" w:lineRule="auto"/>
              <w:jc w:val="center"/>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val="en-US" w:eastAsia="zh-CN"/>
              </w:rPr>
              <w:t xml:space="preserve">表3-3  </w:t>
            </w:r>
            <w:r>
              <w:rPr>
                <w:rFonts w:hint="default" w:ascii="Times New Roman" w:hAnsi="Times New Roman" w:eastAsia="宋体" w:cs="Times New Roman"/>
                <w:b/>
                <w:bCs/>
                <w:sz w:val="21"/>
                <w:szCs w:val="21"/>
              </w:rPr>
              <w:t>主要环境保护目标一览表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523"/>
              <w:gridCol w:w="1710"/>
              <w:gridCol w:w="654"/>
              <w:gridCol w:w="622"/>
              <w:gridCol w:w="850"/>
              <w:gridCol w:w="845"/>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 w:type="pct"/>
                  <w:vMerge w:val="restart"/>
                  <w:tcBorders>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环境要素</w:t>
                  </w:r>
                </w:p>
              </w:tc>
              <w:tc>
                <w:tcPr>
                  <w:tcW w:w="3240" w:type="pct"/>
                  <w:gridSpan w:val="6"/>
                  <w:tcBorders>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保护目标情况</w:t>
                  </w:r>
                </w:p>
              </w:tc>
              <w:tc>
                <w:tcPr>
                  <w:tcW w:w="1432" w:type="pct"/>
                  <w:vMerge w:val="restart"/>
                  <w:tcBorders>
                    <w:left w:val="single" w:color="auto" w:sz="4" w:space="0"/>
                    <w:bottom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 w:type="pct"/>
                  <w:vMerge w:val="continue"/>
                  <w:tcBorders>
                    <w:top w:val="single" w:color="auto" w:sz="12" w:space="0"/>
                    <w:bottom w:val="single" w:color="auto" w:sz="4" w:space="0"/>
                    <w:right w:val="single" w:color="auto" w:sz="4" w:space="0"/>
                  </w:tcBorders>
                  <w:vAlign w:val="center"/>
                </w:tcPr>
                <w:p>
                  <w:pPr>
                    <w:widowControl/>
                    <w:rPr>
                      <w:rFonts w:hint="default" w:ascii="Times New Roman" w:hAnsi="Times New Roman" w:eastAsia="宋体" w:cs="Times New Roman"/>
                      <w:sz w:val="21"/>
                      <w:szCs w:val="21"/>
                    </w:rPr>
                  </w:pPr>
                </w:p>
              </w:tc>
              <w:tc>
                <w:tcPr>
                  <w:tcW w:w="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敏感点</w:t>
                  </w:r>
                </w:p>
              </w:tc>
              <w:tc>
                <w:tcPr>
                  <w:tcW w:w="106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位置</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距离最近的构筑物</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相对风机的方位</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相对风机的距离</w:t>
                  </w: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户数、人口</w:t>
                  </w:r>
                </w:p>
              </w:tc>
              <w:tc>
                <w:tcPr>
                  <w:tcW w:w="1432" w:type="pct"/>
                  <w:vMerge w:val="continue"/>
                  <w:tcBorders>
                    <w:top w:val="single" w:color="auto" w:sz="12" w:space="0"/>
                    <w:left w:val="single" w:color="auto" w:sz="4" w:space="0"/>
                    <w:bottom w:val="single" w:color="auto" w:sz="4" w:space="0"/>
                  </w:tcBorders>
                  <w:vAlign w:val="center"/>
                </w:tcPr>
                <w:p>
                  <w:pPr>
                    <w:widowControl/>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26" w:type="pct"/>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w:t>
                  </w:r>
                </w:p>
              </w:tc>
              <w:tc>
                <w:tcPr>
                  <w:tcW w:w="3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西高城村</w:t>
                  </w:r>
                </w:p>
              </w:tc>
              <w:tc>
                <w:tcPr>
                  <w:tcW w:w="106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E110.150814，N34.999393</w:t>
                  </w:r>
                </w:p>
              </w:tc>
              <w:tc>
                <w:tcPr>
                  <w:tcW w:w="4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开关站</w:t>
                  </w:r>
                </w:p>
              </w:tc>
              <w:tc>
                <w:tcPr>
                  <w:tcW w:w="38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159m</w:t>
                  </w:r>
                </w:p>
              </w:tc>
              <w:tc>
                <w:tcPr>
                  <w:tcW w:w="52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462户、约1300人</w:t>
                  </w:r>
                </w:p>
              </w:tc>
              <w:tc>
                <w:tcPr>
                  <w:tcW w:w="1432"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声环境执行《声环境质量标准》（GB3096-2008）2</w:t>
                  </w:r>
                  <w:r>
                    <w:rPr>
                      <w:rFonts w:hint="default" w:ascii="Times New Roman" w:hAnsi="Times New Roman" w:eastAsia="宋体" w:cs="Times New Roman"/>
                      <w:sz w:val="21"/>
                      <w:szCs w:val="21"/>
                    </w:rPr>
                    <w:br w:type="textWrapping"/>
                  </w:r>
                  <w:r>
                    <w:rPr>
                      <w:rFonts w:hint="default" w:ascii="Times New Roman" w:hAnsi="Times New Roman" w:eastAsia="宋体" w:cs="Times New Roman"/>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 w:type="pct"/>
                  <w:vMerge w:val="restart"/>
                  <w:tcBorders>
                    <w:top w:val="single" w:color="auto" w:sz="4" w:space="0"/>
                    <w:right w:val="single" w:color="auto" w:sz="4" w:space="0"/>
                  </w:tcBorders>
                  <w:vAlign w:val="center"/>
                </w:tcPr>
                <w:p>
                  <w:pPr>
                    <w:widowControl/>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生态环境</w:t>
                  </w:r>
                </w:p>
              </w:tc>
              <w:tc>
                <w:tcPr>
                  <w:tcW w:w="3240"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pacing w:val="-6"/>
                      <w:sz w:val="21"/>
                      <w:szCs w:val="21"/>
                    </w:rPr>
                  </w:pPr>
                  <w:r>
                    <w:rPr>
                      <w:rFonts w:hint="default" w:ascii="Times New Roman" w:hAnsi="Times New Roman" w:eastAsia="宋体" w:cs="Times New Roman"/>
                      <w:spacing w:val="-6"/>
                      <w:sz w:val="21"/>
                      <w:szCs w:val="21"/>
                    </w:rPr>
                    <w:t>风电场内</w:t>
                  </w:r>
                </w:p>
              </w:tc>
              <w:tc>
                <w:tcPr>
                  <w:tcW w:w="1432" w:type="pct"/>
                  <w:tcBorders>
                    <w:top w:val="single" w:color="auto" w:sz="4" w:space="0"/>
                    <w:left w:val="single" w:color="auto" w:sz="4" w:space="0"/>
                    <w:bottom w:val="single" w:color="auto" w:sz="4" w:space="0"/>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耕地补偿，植被恢复到原有水平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 w:type="pct"/>
                  <w:vMerge w:val="continue"/>
                  <w:tcBorders>
                    <w:right w:val="single" w:color="auto" w:sz="4" w:space="0"/>
                  </w:tcBorders>
                  <w:vAlign w:val="center"/>
                </w:tcPr>
                <w:p>
                  <w:pPr>
                    <w:widowControl/>
                    <w:rPr>
                      <w:rFonts w:hint="default" w:ascii="Times New Roman" w:hAnsi="Times New Roman" w:eastAsia="宋体" w:cs="Times New Roman"/>
                      <w:spacing w:val="-6"/>
                      <w:sz w:val="21"/>
                      <w:szCs w:val="21"/>
                    </w:rPr>
                  </w:pPr>
                </w:p>
              </w:tc>
              <w:tc>
                <w:tcPr>
                  <w:tcW w:w="3240"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spacing w:val="-6"/>
                      <w:sz w:val="21"/>
                      <w:szCs w:val="21"/>
                      <w:lang w:val="en-US"/>
                    </w:rPr>
                  </w:pPr>
                  <w:r>
                    <w:rPr>
                      <w:rFonts w:hint="eastAsia" w:cs="Times New Roman"/>
                      <w:sz w:val="21"/>
                      <w:szCs w:val="21"/>
                      <w:lang w:val="en-US" w:eastAsia="zh-CN"/>
                    </w:rPr>
                    <w:t>陕西黄河湿地省级自然保护区内鸟类</w:t>
                  </w:r>
                </w:p>
              </w:tc>
              <w:tc>
                <w:tcPr>
                  <w:tcW w:w="1432" w:type="pct"/>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 w:type="pct"/>
                  <w:tcBorders>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水土保持</w:t>
                  </w:r>
                </w:p>
              </w:tc>
              <w:tc>
                <w:tcPr>
                  <w:tcW w:w="3240" w:type="pct"/>
                  <w:gridSpan w:val="6"/>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主体防治区、临时工程防治区</w:t>
                  </w:r>
                </w:p>
              </w:tc>
              <w:tc>
                <w:tcPr>
                  <w:tcW w:w="1432" w:type="pct"/>
                  <w:tcBorders>
                    <w:top w:val="single" w:color="auto" w:sz="4" w:space="0"/>
                    <w:lef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w:t>
                  </w:r>
                </w:p>
              </w:tc>
            </w:tr>
          </w:tbl>
          <w:p>
            <w:pPr>
              <w:adjustRightInd w:val="0"/>
              <w:snapToGrid w:val="0"/>
              <w:rPr>
                <w:rFonts w:ascii="宋体" w:hAnsi="宋体" w:cs="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904" w:type="dxa"/>
            <w:noWrap w:val="0"/>
            <w:vAlign w:val="center"/>
          </w:tcPr>
          <w:p>
            <w:pPr>
              <w:adjustRightInd w:val="0"/>
              <w:snapToGrid w:val="0"/>
              <w:jc w:val="center"/>
              <w:rPr>
                <w:rFonts w:hint="eastAsia" w:ascii="宋体" w:hAnsi="宋体" w:cs="宋体"/>
                <w:kern w:val="0"/>
                <w:sz w:val="21"/>
                <w:szCs w:val="21"/>
              </w:rPr>
            </w:pPr>
            <w:r>
              <w:rPr>
                <w:rFonts w:hint="eastAsia" w:ascii="宋体" w:hAnsi="宋体" w:cs="宋体"/>
                <w:kern w:val="0"/>
                <w:sz w:val="21"/>
                <w:szCs w:val="21"/>
              </w:rPr>
              <w:t>评价</w:t>
            </w:r>
          </w:p>
          <w:p>
            <w:pPr>
              <w:adjustRightInd w:val="0"/>
              <w:snapToGrid w:val="0"/>
              <w:jc w:val="center"/>
              <w:rPr>
                <w:rFonts w:ascii="宋体" w:hAnsi="宋体" w:cs="宋体"/>
                <w:kern w:val="0"/>
                <w:sz w:val="21"/>
                <w:szCs w:val="21"/>
              </w:rPr>
            </w:pPr>
            <w:r>
              <w:rPr>
                <w:rFonts w:hint="eastAsia" w:ascii="宋体" w:hAnsi="宋体" w:cs="宋体"/>
                <w:kern w:val="0"/>
                <w:sz w:val="21"/>
                <w:szCs w:val="21"/>
              </w:rPr>
              <w:t>标准</w:t>
            </w:r>
          </w:p>
        </w:tc>
        <w:tc>
          <w:tcPr>
            <w:tcW w:w="8253" w:type="dxa"/>
            <w:noWrap w:val="0"/>
            <w:vAlign w:val="center"/>
          </w:tcPr>
          <w:p>
            <w:pPr>
              <w:numPr>
                <w:ilvl w:val="0"/>
                <w:numId w:val="0"/>
              </w:numPr>
              <w:spacing w:before="120" w:beforeLines="50" w:line="276" w:lineRule="auto"/>
              <w:rPr>
                <w:rFonts w:hint="eastAsia"/>
                <w:b/>
                <w:sz w:val="21"/>
                <w:szCs w:val="21"/>
                <w:lang w:eastAsia="zh-CN"/>
              </w:rPr>
            </w:pPr>
            <w:r>
              <w:rPr>
                <w:rFonts w:hint="eastAsia"/>
                <w:b/>
                <w:sz w:val="21"/>
                <w:szCs w:val="21"/>
                <w:lang w:eastAsia="zh-CN"/>
              </w:rPr>
              <w:t>一、环境质量标准</w:t>
            </w:r>
          </w:p>
          <w:p>
            <w:pPr>
              <w:numPr>
                <w:ilvl w:val="0"/>
                <w:numId w:val="0"/>
              </w:numPr>
              <w:spacing w:before="120" w:beforeLines="50" w:line="276" w:lineRule="auto"/>
              <w:ind w:firstLine="422" w:firstLineChars="200"/>
              <w:rPr>
                <w:b/>
                <w:sz w:val="21"/>
                <w:szCs w:val="21"/>
              </w:rPr>
            </w:pPr>
            <w:r>
              <w:rPr>
                <w:rFonts w:hint="eastAsia"/>
                <w:b/>
                <w:sz w:val="21"/>
                <w:szCs w:val="21"/>
              </w:rPr>
              <w:t>1</w:t>
            </w:r>
            <w:r>
              <w:rPr>
                <w:b/>
                <w:sz w:val="21"/>
                <w:szCs w:val="21"/>
              </w:rPr>
              <w:t>、环境空气质量标准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sz w:val="21"/>
                <w:szCs w:val="21"/>
                <w:lang w:val="en-US"/>
              </w:rPr>
            </w:pPr>
            <w:r>
              <w:rPr>
                <w:rFonts w:hint="default" w:ascii="Times New Roman" w:hAnsi="Times New Roman" w:eastAsia="宋体" w:cs="Times New Roman"/>
                <w:color w:val="000000"/>
                <w:kern w:val="0"/>
                <w:sz w:val="21"/>
                <w:szCs w:val="21"/>
                <w:lang w:val="en-US" w:eastAsia="zh-CN" w:bidi="ar"/>
              </w:rPr>
              <w:t>根据《环境空气质量标准》（GB3095-2012）功能区标准分类，属于二类环境空气质量功能区，执行《环境空气质量标准》（GB3095-2012）二级标准</w:t>
            </w:r>
            <w:r>
              <w:rPr>
                <w:rFonts w:hint="default" w:ascii="Times New Roman" w:hAnsi="Times New Roman" w:cs="Times New Roman"/>
                <w:color w:val="000000"/>
                <w:kern w:val="0"/>
                <w:sz w:val="21"/>
                <w:szCs w:val="21"/>
                <w:lang w:val="en-US" w:eastAsia="zh-CN" w:bidi="ar"/>
              </w:rPr>
              <w:t>，详见表</w:t>
            </w:r>
            <w:r>
              <w:rPr>
                <w:rFonts w:hint="eastAsia" w:ascii="Times New Roman" w:hAnsi="Times New Roman"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eastAsia" w:ascii="Times New Roman" w:hAnsi="Times New Roman"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p>
          <w:p>
            <w:pPr>
              <w:pStyle w:val="13"/>
              <w:spacing w:line="240" w:lineRule="auto"/>
              <w:jc w:val="center"/>
              <w:outlineLvl w:val="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eastAsia" w:ascii="Times New Roman" w:hAnsi="Times New Roman" w:eastAsia="宋体"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lang w:val="en-US" w:eastAsia="zh-CN"/>
              </w:rPr>
              <w:t>-</w:t>
            </w:r>
            <w:r>
              <w:rPr>
                <w:rFonts w:hint="eastAsia" w:ascii="Times New Roman" w:hAnsi="Times New Roman" w:eastAsia="宋体" w:cs="Times New Roman"/>
                <w:b/>
                <w:color w:val="auto"/>
                <w:sz w:val="21"/>
                <w:szCs w:val="21"/>
                <w:highlight w:val="none"/>
                <w:lang w:val="en-US" w:eastAsia="zh-CN"/>
              </w:rPr>
              <w:t xml:space="preserve">5 </w:t>
            </w:r>
            <w:r>
              <w:rPr>
                <w:rFonts w:hint="default" w:ascii="Times New Roman" w:hAnsi="Times New Roman" w:eastAsia="宋体" w:cs="Times New Roman"/>
                <w:b/>
                <w:color w:val="auto"/>
                <w:sz w:val="21"/>
                <w:szCs w:val="21"/>
                <w:highlight w:val="none"/>
              </w:rPr>
              <w:t>《环境空气质量标准》（GB3095-2012）</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1299"/>
              <w:gridCol w:w="1329"/>
              <w:gridCol w:w="1212"/>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污染因子</w:t>
                  </w:r>
                </w:p>
              </w:tc>
              <w:tc>
                <w:tcPr>
                  <w:tcW w:w="2392" w:type="pct"/>
                  <w:gridSpan w:val="3"/>
                  <w:tcBorders>
                    <w:tl2br w:val="nil"/>
                    <w:tr2bl w:val="nil"/>
                  </w:tcBorders>
                  <w:noWrap w:val="0"/>
                  <w:vAlign w:val="center"/>
                </w:tcPr>
                <w:p>
                  <w:pPr>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二级标准限值（</w:t>
                  </w:r>
                  <w:r>
                    <w:rPr>
                      <w:rFonts w:hint="default" w:ascii="Times New Roman" w:hAnsi="Times New Roman" w:eastAsia="宋体" w:cs="Times New Roman"/>
                      <w:b/>
                      <w:color w:val="auto"/>
                      <w:kern w:val="0"/>
                      <w:sz w:val="21"/>
                      <w:szCs w:val="21"/>
                      <w:highlight w:val="none"/>
                    </w:rPr>
                    <w:t>μg/m</w:t>
                  </w:r>
                  <w:r>
                    <w:rPr>
                      <w:rFonts w:hint="default" w:ascii="Times New Roman" w:hAnsi="Times New Roman" w:eastAsia="宋体" w:cs="Times New Roman"/>
                      <w:b/>
                      <w:color w:val="auto"/>
                      <w:kern w:val="0"/>
                      <w:sz w:val="21"/>
                      <w:szCs w:val="21"/>
                      <w:highlight w:val="none"/>
                      <w:vertAlign w:val="superscript"/>
                    </w:rPr>
                    <w:t>3</w:t>
                  </w:r>
                  <w:r>
                    <w:rPr>
                      <w:rFonts w:hint="default" w:ascii="Times New Roman" w:hAnsi="Times New Roman" w:eastAsia="宋体" w:cs="Times New Roman"/>
                      <w:b/>
                      <w:color w:val="auto"/>
                      <w:kern w:val="0"/>
                      <w:sz w:val="21"/>
                      <w:szCs w:val="21"/>
                      <w:highlight w:val="none"/>
                    </w:rPr>
                    <w:t>）</w:t>
                  </w:r>
                </w:p>
              </w:tc>
              <w:tc>
                <w:tcPr>
                  <w:tcW w:w="1388"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1小时平均</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24小时平均</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年平均</w:t>
                  </w:r>
                </w:p>
              </w:tc>
              <w:tc>
                <w:tcPr>
                  <w:tcW w:w="1388"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二氧化硫（SO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w:t>
                  </w: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500</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150</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c>
                <w:tcPr>
                  <w:tcW w:w="1388"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二氧化氮（NO</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w:t>
                  </w: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w:t>
                  </w:r>
                </w:p>
              </w:tc>
              <w:tc>
                <w:tcPr>
                  <w:tcW w:w="1388"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一氧化碳（CO）</w:t>
                  </w: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10000</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4000</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88"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臭氧（O</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w:t>
                  </w: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200</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160（8小时）</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388"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r>
                    <w:rPr>
                      <w:rFonts w:hint="default" w:ascii="Times New Roman" w:hAnsi="Times New Roman" w:eastAsia="宋体" w:cs="Times New Roman"/>
                      <w:color w:val="auto"/>
                      <w:sz w:val="21"/>
                      <w:szCs w:val="21"/>
                      <w:highlight w:val="none"/>
                      <w:lang w:val="en-GB"/>
                    </w:rPr>
                    <w:t>PM</w:t>
                  </w:r>
                  <w:r>
                    <w:rPr>
                      <w:rFonts w:hint="default" w:ascii="Times New Roman" w:hAnsi="Times New Roman" w:eastAsia="宋体" w:cs="Times New Roman"/>
                      <w:color w:val="auto"/>
                      <w:sz w:val="21"/>
                      <w:szCs w:val="21"/>
                      <w:highlight w:val="none"/>
                      <w:vertAlign w:val="subscript"/>
                      <w:lang w:val="en-GB"/>
                    </w:rPr>
                    <w:t>10</w:t>
                  </w:r>
                  <w:r>
                    <w:rPr>
                      <w:rFonts w:hint="default" w:ascii="Times New Roman" w:hAnsi="Times New Roman" w:eastAsia="宋体" w:cs="Times New Roman"/>
                      <w:color w:val="auto"/>
                      <w:sz w:val="21"/>
                      <w:szCs w:val="21"/>
                      <w:highlight w:val="none"/>
                    </w:rPr>
                    <w:t>）</w:t>
                  </w: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150</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70</w:t>
                  </w:r>
                </w:p>
              </w:tc>
              <w:tc>
                <w:tcPr>
                  <w:tcW w:w="1388"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21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颗粒物（PM</w:t>
                  </w:r>
                  <w:r>
                    <w:rPr>
                      <w:rFonts w:hint="default" w:ascii="Times New Roman" w:hAnsi="Times New Roman" w:eastAsia="宋体" w:cs="Times New Roman"/>
                      <w:color w:val="auto"/>
                      <w:sz w:val="21"/>
                      <w:szCs w:val="21"/>
                      <w:highlight w:val="none"/>
                      <w:vertAlign w:val="subscript"/>
                    </w:rPr>
                    <w:t>2.5</w:t>
                  </w:r>
                  <w:r>
                    <w:rPr>
                      <w:rFonts w:hint="default" w:ascii="Times New Roman" w:hAnsi="Times New Roman" w:eastAsia="宋体" w:cs="Times New Roman"/>
                      <w:color w:val="auto"/>
                      <w:sz w:val="21"/>
                      <w:szCs w:val="21"/>
                      <w:highlight w:val="none"/>
                    </w:rPr>
                    <w:t>）</w:t>
                  </w:r>
                </w:p>
              </w:tc>
              <w:tc>
                <w:tcPr>
                  <w:tcW w:w="80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828"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7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35</w:t>
                  </w:r>
                </w:p>
              </w:tc>
              <w:tc>
                <w:tcPr>
                  <w:tcW w:w="1388"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bl>
          <w:p>
            <w:pPr>
              <w:spacing w:line="276" w:lineRule="auto"/>
              <w:ind w:firstLine="420" w:firstLineChars="200"/>
              <w:rPr>
                <w:b/>
                <w:sz w:val="21"/>
                <w:szCs w:val="21"/>
              </w:rPr>
            </w:pPr>
            <w:r>
              <w:rPr>
                <w:rFonts w:hint="eastAsia" w:ascii="宋体" w:hAnsi="宋体" w:cs="宋体"/>
                <w:kern w:val="0"/>
                <w:sz w:val="21"/>
                <w:szCs w:val="21"/>
                <w:lang w:val="en-US" w:eastAsia="zh-CN"/>
              </w:rPr>
              <w:t>2</w:t>
            </w:r>
            <w:r>
              <w:rPr>
                <w:b/>
                <w:sz w:val="21"/>
                <w:szCs w:val="21"/>
              </w:rPr>
              <w:t>、声环境质量标准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cs="Times New Roman"/>
                <w:color w:val="auto"/>
                <w:sz w:val="21"/>
                <w:szCs w:val="21"/>
                <w:highlight w:val="none"/>
                <w:lang w:val="zh-CN"/>
              </w:rPr>
            </w:pPr>
            <w:r>
              <w:rPr>
                <w:rFonts w:hint="eastAsia" w:ascii="Times New Roman" w:hAnsi="Times New Roman" w:eastAsia="宋体" w:cs="Times New Roman"/>
                <w:color w:val="auto"/>
                <w:sz w:val="21"/>
                <w:szCs w:val="21"/>
                <w:highlight w:val="none"/>
                <w:lang w:val="en-US" w:eastAsia="zh-CN"/>
              </w:rPr>
              <w:t>声环境</w:t>
            </w:r>
            <w:r>
              <w:rPr>
                <w:rFonts w:hint="default" w:ascii="Times New Roman" w:hAnsi="Times New Roman" w:eastAsia="宋体" w:cs="Times New Roman"/>
                <w:color w:val="auto"/>
                <w:sz w:val="21"/>
                <w:szCs w:val="21"/>
                <w:highlight w:val="none"/>
                <w:lang w:val="zh-CN"/>
              </w:rPr>
              <w:t>执行</w:t>
            </w:r>
            <w:r>
              <w:rPr>
                <w:rFonts w:hint="default" w:ascii="Times New Roman" w:hAnsi="Times New Roman" w:eastAsia="宋体" w:cs="Times New Roman"/>
                <w:color w:val="auto"/>
                <w:sz w:val="21"/>
                <w:szCs w:val="21"/>
                <w:highlight w:val="none"/>
              </w:rPr>
              <w:t>《声环境质量标准》（GB3096-2008）</w:t>
            </w:r>
            <w:r>
              <w:rPr>
                <w:rFonts w:hint="default" w:ascii="Times New Roman" w:hAnsi="Times New Roman" w:eastAsia="宋体" w:cs="Times New Roman"/>
                <w:color w:val="auto"/>
                <w:sz w:val="21"/>
                <w:szCs w:val="21"/>
                <w:highlight w:val="none"/>
                <w:lang w:val="zh-CN"/>
              </w:rPr>
              <w:t>中的</w:t>
            </w:r>
            <w:r>
              <w:rPr>
                <w:rFonts w:hint="eastAsia"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zh-CN"/>
              </w:rPr>
              <w:t>类</w:t>
            </w:r>
            <w:r>
              <w:rPr>
                <w:rFonts w:hint="eastAsia" w:ascii="Times New Roman" w:hAnsi="Times New Roman" w:eastAsia="宋体" w:cs="Times New Roman"/>
                <w:color w:val="auto"/>
                <w:sz w:val="21"/>
                <w:szCs w:val="21"/>
                <w:highlight w:val="none"/>
                <w:lang w:val="en-US" w:eastAsia="zh-CN"/>
              </w:rPr>
              <w:t>区</w:t>
            </w:r>
            <w:r>
              <w:rPr>
                <w:rFonts w:hint="default" w:ascii="Times New Roman" w:hAnsi="Times New Roman" w:eastAsia="宋体" w:cs="Times New Roman"/>
                <w:color w:val="auto"/>
                <w:sz w:val="21"/>
                <w:szCs w:val="21"/>
                <w:highlight w:val="none"/>
                <w:lang w:val="zh-CN"/>
              </w:rPr>
              <w:t>标准</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zh-CN"/>
              </w:rPr>
              <w:t>标准限值见表</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zh-CN"/>
              </w:rPr>
              <w:t>。</w:t>
            </w:r>
          </w:p>
          <w:p>
            <w:pPr>
              <w:numPr>
                <w:ilvl w:val="0"/>
                <w:numId w:val="0"/>
              </w:numPr>
              <w:spacing w:line="240" w:lineRule="auto"/>
              <w:ind w:leftChars="0"/>
              <w:jc w:val="center"/>
              <w:rPr>
                <w:rFonts w:hint="default"/>
                <w:sz w:val="21"/>
                <w:szCs w:val="21"/>
                <w:lang w:val="en-US" w:eastAsia="zh-CN"/>
              </w:rPr>
            </w:pPr>
            <w:r>
              <w:rPr>
                <w:rFonts w:hint="default" w:ascii="Times New Roman" w:hAnsi="Times New Roman" w:eastAsia="宋体" w:cs="Times New Roman"/>
                <w:b/>
                <w:color w:val="auto"/>
                <w:sz w:val="21"/>
                <w:szCs w:val="21"/>
                <w:highlight w:val="none"/>
                <w:lang w:val="zh-CN"/>
              </w:rPr>
              <w:t>表</w:t>
            </w:r>
            <w:r>
              <w:rPr>
                <w:rFonts w:hint="eastAsia" w:ascii="Times New Roman" w:hAnsi="Times New Roman" w:cs="Times New Roman"/>
                <w:b/>
                <w:color w:val="auto"/>
                <w:sz w:val="21"/>
                <w:szCs w:val="21"/>
                <w:highlight w:val="none"/>
                <w:lang w:val="en-US" w:eastAsia="zh-CN"/>
              </w:rPr>
              <w:t>3</w:t>
            </w:r>
            <w:r>
              <w:rPr>
                <w:rFonts w:hint="default" w:ascii="Times New Roman" w:hAnsi="Times New Roman" w:eastAsia="宋体" w:cs="Times New Roman"/>
                <w:b/>
                <w:color w:val="auto"/>
                <w:sz w:val="21"/>
                <w:szCs w:val="21"/>
                <w:highlight w:val="none"/>
                <w:lang w:val="en-US" w:eastAsia="zh-CN"/>
              </w:rPr>
              <w:t>-</w:t>
            </w:r>
            <w:r>
              <w:rPr>
                <w:rFonts w:hint="eastAsia" w:cs="Times New Roman"/>
                <w:b/>
                <w:color w:val="auto"/>
                <w:sz w:val="21"/>
                <w:szCs w:val="21"/>
                <w:highlight w:val="none"/>
                <w:lang w:val="en-US" w:eastAsia="zh-CN"/>
              </w:rPr>
              <w:t xml:space="preserve">7 </w:t>
            </w:r>
            <w:r>
              <w:rPr>
                <w:rFonts w:hint="default" w:ascii="Times New Roman" w:hAnsi="Times New Roman" w:eastAsia="宋体" w:cs="Times New Roman"/>
                <w:b/>
                <w:color w:val="auto"/>
                <w:sz w:val="21"/>
                <w:szCs w:val="21"/>
                <w:highlight w:val="none"/>
                <w:lang w:val="zh-CN"/>
              </w:rPr>
              <w:t>声环境质量标准</w:t>
            </w:r>
            <w:r>
              <w:rPr>
                <w:rFonts w:hint="default" w:ascii="Times New Roman" w:hAnsi="Times New Roman" w:eastAsia="宋体" w:cs="Times New Roman"/>
                <w:b/>
                <w:color w:val="auto"/>
                <w:sz w:val="21"/>
                <w:szCs w:val="21"/>
                <w:highlight w:val="none"/>
              </w:rPr>
              <w:t>（GB3096-2008）</w:t>
            </w: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03"/>
              <w:gridCol w:w="2191"/>
              <w:gridCol w:w="3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40" w:hRule="atLeast"/>
                <w:jc w:val="center"/>
              </w:trPr>
              <w:tc>
                <w:tcPr>
                  <w:tcW w:w="2737" w:type="pct"/>
                  <w:gridSpan w:val="2"/>
                  <w:tcBorders>
                    <w:tl2br w:val="nil"/>
                    <w:tr2bl w:val="nil"/>
                  </w:tcBorders>
                  <w:noWrap w:val="0"/>
                  <w:vAlign w:val="center"/>
                </w:tcPr>
                <w:p>
                  <w:pPr>
                    <w:spacing w:line="240" w:lineRule="auto"/>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color w:val="auto"/>
                      <w:sz w:val="21"/>
                      <w:szCs w:val="21"/>
                      <w:highlight w:val="none"/>
                    </w:rPr>
                    <w:t>标准值（Leq：dB（A）</w:t>
                  </w:r>
                  <w:r>
                    <w:rPr>
                      <w:rFonts w:hint="eastAsia" w:ascii="Times New Roman" w:hAnsi="Times New Roman" w:eastAsia="宋体" w:cs="Times New Roman"/>
                      <w:b/>
                      <w:color w:val="auto"/>
                      <w:sz w:val="21"/>
                      <w:szCs w:val="21"/>
                      <w:highlight w:val="none"/>
                      <w:lang w:eastAsia="zh-CN"/>
                    </w:rPr>
                    <w:t>）</w:t>
                  </w:r>
                </w:p>
              </w:tc>
              <w:tc>
                <w:tcPr>
                  <w:tcW w:w="2262"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37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昼间</w:t>
                  </w:r>
                </w:p>
              </w:tc>
              <w:tc>
                <w:tcPr>
                  <w:tcW w:w="136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夜间</w:t>
                  </w:r>
                </w:p>
              </w:tc>
              <w:tc>
                <w:tcPr>
                  <w:tcW w:w="2262"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1372"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60</w:t>
                  </w:r>
                </w:p>
              </w:tc>
              <w:tc>
                <w:tcPr>
                  <w:tcW w:w="136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50</w:t>
                  </w:r>
                </w:p>
              </w:tc>
              <w:tc>
                <w:tcPr>
                  <w:tcW w:w="22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《声环境质量标准》</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GB3096-2008</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中的</w:t>
                  </w:r>
                  <w:r>
                    <w:rPr>
                      <w:rFonts w:hint="eastAsia" w:cs="Times New Roman"/>
                      <w:color w:val="auto"/>
                      <w:sz w:val="21"/>
                      <w:szCs w:val="21"/>
                      <w:highlight w:val="none"/>
                      <w:lang w:val="en-US" w:eastAsia="zh-CN"/>
                    </w:rPr>
                    <w:fldChar w:fldCharType="begin"/>
                  </w:r>
                  <w:r>
                    <w:rPr>
                      <w:rFonts w:hint="eastAsia" w:cs="Times New Roman"/>
                      <w:color w:val="auto"/>
                      <w:sz w:val="21"/>
                      <w:szCs w:val="21"/>
                      <w:highlight w:val="none"/>
                      <w:lang w:val="en-US" w:eastAsia="zh-CN"/>
                    </w:rPr>
                    <w:instrText xml:space="preserve"> = 2 \* ROMAN \* MERGEFORMAT </w:instrText>
                  </w:r>
                  <w:r>
                    <w:rPr>
                      <w:rFonts w:hint="eastAsia" w:cs="Times New Roman"/>
                      <w:color w:val="auto"/>
                      <w:sz w:val="21"/>
                      <w:szCs w:val="21"/>
                      <w:highlight w:val="none"/>
                      <w:lang w:val="en-US" w:eastAsia="zh-CN"/>
                    </w:rPr>
                    <w:fldChar w:fldCharType="separate"/>
                  </w:r>
                  <w:r>
                    <w:rPr>
                      <w:sz w:val="21"/>
                      <w:szCs w:val="21"/>
                    </w:rPr>
                    <w:t>II</w:t>
                  </w:r>
                  <w:r>
                    <w:rPr>
                      <w:rFonts w:hint="eastAsia" w:cs="Times New Roman"/>
                      <w:color w:val="auto"/>
                      <w:sz w:val="21"/>
                      <w:szCs w:val="21"/>
                      <w:highlight w:val="none"/>
                      <w:lang w:val="en-US" w:eastAsia="zh-CN"/>
                    </w:rPr>
                    <w:fldChar w:fldCharType="end"/>
                  </w:r>
                  <w:r>
                    <w:rPr>
                      <w:rFonts w:hint="default" w:ascii="Times New Roman" w:hAnsi="Times New Roman" w:eastAsia="宋体" w:cs="Times New Roman"/>
                      <w:color w:val="auto"/>
                      <w:sz w:val="21"/>
                      <w:szCs w:val="21"/>
                      <w:highlight w:val="none"/>
                    </w:rPr>
                    <w:t>类标准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kern w:val="0"/>
                <w:sz w:val="21"/>
                <w:szCs w:val="21"/>
                <w:lang w:eastAsia="zh-CN"/>
              </w:rPr>
            </w:pPr>
            <w:r>
              <w:rPr>
                <w:rFonts w:hint="eastAsia"/>
                <w:b/>
                <w:bCs/>
                <w:kern w:val="0"/>
                <w:sz w:val="21"/>
                <w:szCs w:val="21"/>
                <w:lang w:eastAsia="zh-CN"/>
              </w:rPr>
              <w:t>二、污染物排放标准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eastAsia="zh-CN"/>
              </w:rPr>
              <w:t>（1）施工期扬尘排放执行《施工场界扬尘排放限值》（DB61/1078-2017）；施工车辆、机械尾气达到《非道路移动机械用柴油机排气污染物排放限值及测量方法》（GB20891-2014）及《非道路移动柴油机械排气烟度限值及测量方法》（GB36886-2018）中相关标准限值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（2）运营期生活污水经废水处理设施处理后执行《城市污水再生利用城市杂用水水质标准》（GB/T 18920-2002）标准，回用于场区绿化；</w:t>
            </w:r>
          </w:p>
          <w:p>
            <w:pPr>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（3）施工期噪声排放执行《建筑施工场界环境噪声排放标准》（GB12523-2011）限值；营运期厂界噪声执行《工业企业厂界环境噪声排放标准》（GB12348-2008）2类限值要求；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0"/>
                <w:sz w:val="21"/>
                <w:szCs w:val="21"/>
                <w:lang w:eastAsia="zh-CN"/>
              </w:rPr>
            </w:pPr>
            <w:r>
              <w:rPr>
                <w:rFonts w:hint="default" w:ascii="Times New Roman" w:hAnsi="Times New Roman" w:eastAsia="宋体" w:cs="Times New Roman"/>
                <w:sz w:val="21"/>
                <w:szCs w:val="21"/>
              </w:rPr>
              <w:t>（4）固废中一般工业固体废物执行《一般工业固体废物贮存、处置场污染控制标准》（GB18599-2001）及2013修改单中有关规定，危险废物执行《危险废物贮存污染控制标准》（GB18597-2001）及2013年修改单中有关规定；生活垃圾执行《生活垃圾填埋场污染控制标准》（GB16889-2008）中有关规定</w:t>
            </w:r>
            <w:r>
              <w:rPr>
                <w:rFonts w:hint="eastAsia" w:ascii="Times New Roman" w:hAnsi="Times New Roman" w:cs="Times New Roman"/>
                <w:sz w:val="21"/>
                <w:szCs w:val="21"/>
                <w:vertAlign w:val="baseli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noWrap w:val="0"/>
            <w:vAlign w:val="center"/>
          </w:tcPr>
          <w:p>
            <w:pPr>
              <w:adjustRightInd w:val="0"/>
              <w:snapToGrid w:val="0"/>
              <w:jc w:val="center"/>
              <w:rPr>
                <w:rFonts w:ascii="宋体" w:hAnsi="宋体" w:cs="宋体"/>
                <w:kern w:val="0"/>
                <w:sz w:val="21"/>
                <w:szCs w:val="21"/>
              </w:rPr>
            </w:pPr>
            <w:r>
              <w:rPr>
                <w:rFonts w:hint="eastAsia" w:ascii="宋体" w:hAnsi="宋体" w:cs="宋体"/>
                <w:kern w:val="0"/>
                <w:sz w:val="21"/>
                <w:szCs w:val="21"/>
              </w:rPr>
              <w:t>其他</w:t>
            </w:r>
          </w:p>
        </w:tc>
        <w:tc>
          <w:tcPr>
            <w:tcW w:w="82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eastAsia="宋体" w:cs="Times New Roman"/>
                <w:sz w:val="21"/>
                <w:szCs w:val="21"/>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r>
              <w:rPr>
                <w:rFonts w:hint="default" w:ascii="Times New Roman" w:hAnsi="Times New Roman" w:eastAsia="宋体" w:cs="Times New Roman"/>
                <w:sz w:val="21"/>
                <w:szCs w:val="21"/>
                <w:vertAlign w:val="baseline"/>
                <w:lang w:eastAsia="zh-CN"/>
              </w:rPr>
              <w:t>根据《“十三五”主要污染物总量控制规划编制技术指南》，主要污染物总量控制因子为：COD、氨氮、SO</w:t>
            </w:r>
            <w:r>
              <w:rPr>
                <w:rFonts w:hint="default" w:ascii="Times New Roman" w:hAnsi="Times New Roman" w:eastAsia="宋体" w:cs="Times New Roman"/>
                <w:sz w:val="21"/>
                <w:szCs w:val="21"/>
                <w:vertAlign w:val="subscript"/>
                <w:lang w:eastAsia="zh-CN"/>
              </w:rPr>
              <w:t>2</w:t>
            </w:r>
            <w:r>
              <w:rPr>
                <w:rFonts w:hint="default" w:ascii="Times New Roman" w:hAnsi="Times New Roman" w:eastAsia="宋体" w:cs="Times New Roman"/>
                <w:sz w:val="21"/>
                <w:szCs w:val="21"/>
                <w:vertAlign w:val="baseline"/>
                <w:lang w:eastAsia="zh-CN"/>
              </w:rPr>
              <w:t>、NO</w:t>
            </w:r>
            <w:r>
              <w:rPr>
                <w:rFonts w:hint="eastAsia" w:cs="Times New Roman"/>
                <w:sz w:val="21"/>
                <w:szCs w:val="21"/>
                <w:vertAlign w:val="subscript"/>
                <w:lang w:val="en-US" w:eastAsia="zh-CN"/>
              </w:rPr>
              <w:t>X</w:t>
            </w:r>
            <w:r>
              <w:rPr>
                <w:rFonts w:hint="default" w:ascii="Times New Roman" w:hAnsi="Times New Roman" w:eastAsia="宋体" w:cs="Times New Roman"/>
                <w:sz w:val="21"/>
                <w:szCs w:val="21"/>
                <w:vertAlign w:val="baseline"/>
                <w:lang w:eastAsia="zh-CN"/>
              </w:rPr>
              <w:t>、VOCs；本项目废水不外排，</w:t>
            </w:r>
            <w:r>
              <w:rPr>
                <w:sz w:val="21"/>
                <w:szCs w:val="21"/>
              </w:rPr>
              <w:t>不</w:t>
            </w:r>
            <w:r>
              <w:rPr>
                <w:rFonts w:hint="eastAsia"/>
                <w:sz w:val="21"/>
                <w:szCs w:val="21"/>
              </w:rPr>
              <w:t>建议设置</w:t>
            </w:r>
            <w:r>
              <w:rPr>
                <w:sz w:val="21"/>
                <w:szCs w:val="21"/>
              </w:rPr>
              <w:t>总量控制指标</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宋体" w:hAnsi="宋体" w:cs="宋体"/>
                <w:kern w:val="0"/>
                <w:sz w:val="21"/>
                <w:szCs w:val="21"/>
              </w:rPr>
            </w:pPr>
          </w:p>
        </w:tc>
      </w:tr>
    </w:tbl>
    <w:p>
      <w:pPr>
        <w:pStyle w:val="4"/>
        <w:rPr>
          <w:rFonts w:hint="eastAsia"/>
          <w:sz w:val="21"/>
          <w:szCs w:val="21"/>
        </w:rPr>
        <w:sectPr>
          <w:pgSz w:w="11906" w:h="16838"/>
          <w:pgMar w:top="1440" w:right="1800" w:bottom="1440" w:left="1800" w:header="851" w:footer="992" w:gutter="0"/>
          <w:pgNumType w:fmt="decimal"/>
          <w:cols w:space="425" w:num="1"/>
          <w:docGrid w:type="lines" w:linePitch="312" w:charSpace="0"/>
        </w:sectPr>
      </w:pPr>
    </w:p>
    <w:p>
      <w:pPr>
        <w:pStyle w:val="15"/>
        <w:jc w:val="center"/>
        <w:outlineLvl w:val="0"/>
        <w:rPr>
          <w:rFonts w:hint="eastAsia" w:ascii="黑体" w:hAnsi="黑体" w:eastAsia="黑体" w:cs="Times New Roman"/>
          <w:snapToGrid w:val="0"/>
          <w:sz w:val="30"/>
          <w:szCs w:val="30"/>
        </w:rPr>
      </w:pPr>
      <w:r>
        <w:rPr>
          <w:rFonts w:hint="eastAsia" w:ascii="黑体" w:hAnsi="黑体" w:eastAsia="黑体" w:cs="Times New Roman"/>
          <w:snapToGrid w:val="0"/>
          <w:sz w:val="30"/>
          <w:szCs w:val="30"/>
        </w:rPr>
        <w:t>四、生态环境影响分析</w:t>
      </w:r>
    </w:p>
    <w:tbl>
      <w:tblPr>
        <w:tblStyle w:val="17"/>
        <w:tblW w:w="92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2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6" w:hRule="atLeast"/>
          <w:jc w:val="center"/>
        </w:trPr>
        <w:tc>
          <w:tcPr>
            <w:tcW w:w="879" w:type="dxa"/>
            <w:noWrap w:val="0"/>
            <w:tcMar>
              <w:left w:w="28" w:type="dxa"/>
              <w:right w:w="28" w:type="dxa"/>
            </w:tcMar>
            <w:vAlign w:val="center"/>
          </w:tcPr>
          <w:p>
            <w:pPr>
              <w:pStyle w:val="15"/>
              <w:adjustRightInd w:val="0"/>
              <w:snapToGrid w:val="0"/>
              <w:spacing w:before="0" w:beforeAutospacing="0" w:after="0" w:afterAutospacing="0"/>
              <w:jc w:val="center"/>
              <w:rPr>
                <w:rFonts w:cs="宋体"/>
                <w:bCs/>
                <w:kern w:val="2"/>
                <w:sz w:val="21"/>
                <w:szCs w:val="21"/>
              </w:rPr>
            </w:pPr>
            <w:bookmarkStart w:id="3" w:name="_Hlk49796138"/>
            <w:r>
              <w:rPr>
                <w:rFonts w:hint="eastAsia" w:cs="宋体"/>
                <w:bCs/>
                <w:spacing w:val="10"/>
                <w:kern w:val="2"/>
                <w:sz w:val="21"/>
                <w:szCs w:val="21"/>
              </w:rPr>
              <w:t>施工期生态环境影响分析</w:t>
            </w:r>
            <w:bookmarkEnd w:id="3"/>
          </w:p>
        </w:tc>
        <w:tc>
          <w:tcPr>
            <w:tcW w:w="8363" w:type="dxa"/>
            <w:noWrap w:val="0"/>
            <w:vAlign w:val="top"/>
          </w:tcPr>
          <w:p>
            <w:pPr>
              <w:keepNext w:val="0"/>
              <w:keepLines w:val="0"/>
              <w:pageBreakBefore w:val="0"/>
              <w:widowControl w:val="0"/>
              <w:kinsoku/>
              <w:wordWrap/>
              <w:overflowPunct/>
              <w:topLinePunct w:val="0"/>
              <w:bidi w:val="0"/>
              <w:spacing w:line="360"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施工期环境影响分析</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项目施工期将会产生扬尘、施工机械和机动车辆排出的尾气、施工噪声、废水、施工固废等。施工期各种污染物随着施工期结束而消失。</w:t>
            </w:r>
          </w:p>
          <w:p>
            <w:pPr>
              <w:pStyle w:val="16"/>
              <w:keepNext w:val="0"/>
              <w:keepLines w:val="0"/>
              <w:pageBreakBefore w:val="0"/>
              <w:widowControl w:val="0"/>
              <w:kinsoku/>
              <w:wordWrap/>
              <w:overflowPunct/>
              <w:topLinePunct w:val="0"/>
              <w:bidi w:val="0"/>
              <w:spacing w:after="0" w:line="360" w:lineRule="auto"/>
              <w:ind w:left="0" w:leftChars="0" w:firstLine="482"/>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1、大气环境影响分析</w:t>
            </w:r>
          </w:p>
          <w:p>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施工过程中产生的大气污染物主要是各类施工开挖及砂石料、水泥、石灰的装卸和投料过程以及运输过程中产生的扬尘；施工机械和运输车辆产生的施工机械废气。</w:t>
            </w:r>
          </w:p>
          <w:p>
            <w:pPr>
              <w:keepNext w:val="0"/>
              <w:keepLines w:val="0"/>
              <w:pageBreakBefore w:val="0"/>
              <w:widowControl w:val="0"/>
              <w:kinsoku/>
              <w:wordWrap/>
              <w:overflowPunct/>
              <w:topLinePunct w:val="0"/>
              <w:bidi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（1）扬尘</w:t>
            </w:r>
          </w:p>
          <w:p>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施工期主要建设内容包括：风电机组基础、箱式变压器基础、输电线路以及场内外道路等。对整个施工期而言，施工扬尘主要集中在土建施工阶段，扬尘产生量主要取决于风速及地表干湿状况。若在春季施工，风速较大，地表干燥，扬尘量必然很大，将对风电场周围特别是下风向区域空气环境产生严重污染。而夏季施工，因风速较小，加之地表较湿，不易产生扬尘，对区域空气环境质量的影响也相对较小。</w:t>
            </w:r>
          </w:p>
          <w:p>
            <w:pPr>
              <w:pStyle w:val="16"/>
              <w:keepNext w:val="0"/>
              <w:keepLines w:val="0"/>
              <w:pageBreakBefore w:val="0"/>
              <w:widowControl w:val="0"/>
              <w:kinsoku/>
              <w:wordWrap/>
              <w:overflowPunct/>
              <w:topLinePunct w:val="0"/>
              <w:bidi w:val="0"/>
              <w:spacing w:after="0" w:line="360" w:lineRule="auto"/>
              <w:ind w:left="0" w:leftChars="0" w:firstLine="48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为了将项目的建设影响降到最低，为了减少项目在建设过程中对周围环境空气的影响，建设单位在施工过程中应采取以下措施：</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为了将项目的建设影响降到最低，为了减少项目在建设过程中对周围环境空气的影响，建设单位在施工过程中应采取以下措施：</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土石方挖掘完后，要及时回填，剩余土石方应及时运到需要填方的低洼处，同时防止水土流失；回填土方时，对干燥表土要适时洒水，防止粉尘飞扬；运输车辆应实行限速行驶（不超过15km/h为宜），以防止扬尘污染。</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②尽量使用低能耗、低污染排放的施工机械、车辆。应尽量选用质量高，对大气环境影响小的燃料。要加强机械、车辆的管理和维护保养，尽量减少因机械、车辆状况不佳造成的空气污染。</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③易飞扬的细颗粒散体材料，应严密遮盖，运输时应采取良好的密封状态运输，装卸时采取有效措施，减少扬尘。</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④建筑材料堆场应设置挡风墙，并采取适当的洒水和覆盖等防尘措施。</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⑤加强施工管理，避免在大风天施工作业，尤其是引起地面扰动的作业。对施工场地内松散、干涸的表土，应经常洒水防尘；对施工及运输道路的路面进行硬化，以减少道路扬尘。</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⑥堆放的施工土料要用遮盖物盖住，避免风吹起尘；如不得不敞开堆放，应对其进行洒水，提高表面含水率，起到抑尘效果。</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国务院《关于印发打赢蓝天保卫战三年行动计划的通知》国发[2018]22号》、《陕西省人民政府关于印发铁腕治霾打嬴蓝天保卫战三年行动方案（2018-2020年）的通知》陕政发[2018]29号、《渭南市铁腕治霾打嬴蓝天保卫战三年行动方案（2018-2020年）》、《渭南市临渭区铁腕治霾打嬴蓝天保卫战三年行动方案（2018-2020年）》、《陕西省蓝天保卫战2020年工作方案》、</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渭南市蓝天保卫战2020年工作方案》，本项目施工过程中应强化建筑工地扬尘控制措施。加强施工扬尘监管，积极推进绿色施工，绿色运营。根据《陕西省建筑施工扬尘治理行动方案》和《陕西省建筑施工扬尘治理措施16条》和《陕西省重污染天气应急预案》，项目施工过程中，应执行下列施工扬尘治理措施：</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①项目场内道路施工粉尘主要为路面平整过程产生的粉尘，在面向村庄一侧采取围挡措施，分段施工，在施工结束后立即撤除围挡，保证周边居民的正常通行。</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②施工组织设计中，必须制定施工现场扬尘预防治理专项方案，并指定专人负责落实，无专项方案严禁开工。</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③施工层建筑垃圾必须采用封闭方式及时清运，严禁凌空抛掷。</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④工程项目部必须对进场所有作业人员进行工地扬尘预防治理知识培训，未经培训严禁上岗。</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⑤施工现场必须建立洒水清扫制度或雾化降尘措施，并有专人负责。</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⑥施工现场出入口必须配备车辆冲洗设施，严禁车辆带泥出场。</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⑦施工现场集中堆放的土方必须覆盖，严禁裸露。</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 8 \* GB3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⑧</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施工现场运送土方、渣土的车辆必须封闭或遮盖，严禁沿路遗漏或抛撒。</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 9 \* GB3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⑨</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施工现场必须设置固定垃圾存放点，垃圾应分类集中堆放并覆盖，及时清运，严禁焚烧、下埋和随意丢弃。</w:t>
            </w:r>
          </w:p>
          <w:p>
            <w:pPr>
              <w:keepNext w:val="0"/>
              <w:keepLines w:val="0"/>
              <w:pageBreakBefore w:val="0"/>
              <w:widowControl w:val="0"/>
              <w:kinsoku/>
              <w:wordWrap/>
              <w:overflowPunct/>
              <w:topLinePunct w:val="0"/>
              <w:bidi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（2）施工机械废气</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机械及运输车辆产生的尾气对局部大气环境会造成影响，其主要污染物为NOx、CO和HC。但这些污染物的排放源强较小，排放高度较低，排放方式为间断，因此本项目施工期间排放的这些大气污染物对环境空气产生的影响范围较小，主要局限于施工作业场区，且为暂时性的，影响程度较轻，排放量小而分散，故废气影响因此不会对周围环境产生较大的不利影响。为进一步减小对环境的污染，要求尽量使用低能耗、低污染排放的施工机械、车辆，应尽量选用质量高、对大气环境影响小的燃料。要加强机械、车辆的管理和维护保养，尽量减少因机械、车辆状况不佳造成的空气污染。</w:t>
            </w:r>
          </w:p>
          <w:p>
            <w:pPr>
              <w:keepNext w:val="0"/>
              <w:keepLines w:val="0"/>
              <w:pageBreakBefore w:val="0"/>
              <w:widowControl w:val="0"/>
              <w:kinsoku/>
              <w:wordWrap/>
              <w:overflowPunct/>
              <w:topLinePunct w:val="0"/>
              <w:bidi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2、地表水环境影响分析</w:t>
            </w:r>
          </w:p>
          <w:p>
            <w:pPr>
              <w:keepNext w:val="0"/>
              <w:keepLines w:val="0"/>
              <w:pageBreakBefore w:val="0"/>
              <w:widowControl w:val="0"/>
              <w:kinsoku/>
              <w:wordWrap/>
              <w:overflowPunct/>
              <w:topLinePunct w:val="0"/>
              <w:bidi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（1）施工生产废水</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生产废水主要来自混凝土养护，运输车辆、施工机械的冲洗以及机械修配等环节。本项目施工期废水产生量约60m3/d，主要污染物为SS，不含其它有毒有害物质，施工废水设沉淀池（20m3）处理后全部回用与施工，不外排。</w:t>
            </w:r>
          </w:p>
          <w:p>
            <w:pPr>
              <w:keepNext w:val="0"/>
              <w:keepLines w:val="0"/>
              <w:pageBreakBefore w:val="0"/>
              <w:widowControl w:val="0"/>
              <w:kinsoku/>
              <w:wordWrap/>
              <w:overflowPunct/>
              <w:topLinePunct w:val="0"/>
              <w:bidi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（2）施工生活污水</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来源于施工人员生活用水和粪便的排放。根据前文分析，施工期项目生活用水量为3.0m3/d，生活污水量按生活用水量的80%计算，则项目生活污水产生量为2.4m3/d。生活区设旱厕，粪便用于周围农田施肥，盥洗废水沉淀处理后用于洒水抑尘，不外排。</w:t>
            </w:r>
          </w:p>
          <w:p>
            <w:pPr>
              <w:pStyle w:val="22"/>
              <w:keepNext w:val="0"/>
              <w:keepLines w:val="0"/>
              <w:pageBreakBefore w:val="0"/>
              <w:widowControl w:val="0"/>
              <w:numPr>
                <w:ilvl w:val="0"/>
                <w:numId w:val="0"/>
              </w:numPr>
              <w:kinsoku/>
              <w:wordWrap/>
              <w:overflowPunct/>
              <w:topLinePunct w:val="0"/>
              <w:bidi w:val="0"/>
              <w:spacing w:line="360" w:lineRule="auto"/>
              <w:ind w:left="482" w:leftChars="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施工期声环境影响分析</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机械噪声具有临时性、阶段性和不固定性等特点，随着施工的结束，项目施工期噪声对周围声环境的影响就会停止。施工期的机械噪声污染主要源于土石方、结构、设备安装等阶段机械、工具的使用，另外还有突发性、冲击性、不连续性的敲打撞击噪声。本项目固定声源噪声影响采用点源噪声模型进行预测，按照点源噪声衰减模型公式计算出不同范围内的噪声强度，确定施工机械设备噪声至不同距离受声点的声级值，预测施工噪声对周边居民点的影响。</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点声源随传播距离衰减模式为：</w:t>
            </w:r>
          </w:p>
          <w:p>
            <w:pPr>
              <w:keepNext w:val="0"/>
              <w:keepLines w:val="0"/>
              <w:pageBreakBefore w:val="0"/>
              <w:widowControl w:val="0"/>
              <w:kinsoku/>
              <w:wordWrap/>
              <w:overflowPunct/>
              <w:topLinePunct w:val="0"/>
              <w:bidi w:val="0"/>
              <w:spacing w:line="360" w:lineRule="auto"/>
              <w:ind w:firstLine="420" w:firstLineChars="20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LP=L0-20lg(r/r0)</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式中：Lp——距声源r处的声压级；</w:t>
            </w:r>
          </w:p>
          <w:p>
            <w:pPr>
              <w:keepNext w:val="0"/>
              <w:keepLines w:val="0"/>
              <w:pageBreakBefore w:val="0"/>
              <w:widowControl w:val="0"/>
              <w:kinsoku/>
              <w:wordWrap/>
              <w:overflowPunct/>
              <w:topLinePunct w:val="0"/>
              <w:bidi w:val="0"/>
              <w:spacing w:line="360" w:lineRule="auto"/>
              <w:ind w:firstLine="1050" w:firstLineChars="5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Lo——距声源ro处的声压级。</w:t>
            </w:r>
          </w:p>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采用以上模型，对项目施工区周边一定距离范围的噪声进行预测计算，结果见表</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-2。</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-2  主要施工机械的噪声级单位dB（A）</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714"/>
              <w:gridCol w:w="718"/>
              <w:gridCol w:w="718"/>
              <w:gridCol w:w="718"/>
              <w:gridCol w:w="718"/>
              <w:gridCol w:w="718"/>
              <w:gridCol w:w="718"/>
              <w:gridCol w:w="718"/>
              <w:gridCol w:w="71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029" w:type="pct"/>
                  <w:vMerge w:val="restar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机械名称</w:t>
                  </w:r>
                </w:p>
              </w:tc>
              <w:tc>
                <w:tcPr>
                  <w:tcW w:w="3970" w:type="pct"/>
                  <w:gridSpan w:val="10"/>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离施工机械的距离(m)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1029" w:type="pct"/>
                  <w:vMerge w:val="continue"/>
                  <w:vAlign w:val="center"/>
                </w:tcPr>
                <w:p>
                  <w:pPr>
                    <w:widowControl/>
                    <w:rPr>
                      <w:rFonts w:hint="default" w:ascii="Times New Roman" w:hAnsi="Times New Roman" w:eastAsia="宋体" w:cs="Times New Roman"/>
                      <w:b/>
                      <w:bCs/>
                      <w:sz w:val="21"/>
                      <w:szCs w:val="21"/>
                    </w:rPr>
                  </w:pPr>
                </w:p>
              </w:tc>
              <w:tc>
                <w:tcPr>
                  <w:tcW w:w="395"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100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150</w:t>
                  </w:r>
                </w:p>
              </w:tc>
              <w:tc>
                <w:tcPr>
                  <w:tcW w:w="397"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200</w:t>
                  </w:r>
                </w:p>
              </w:tc>
              <w:tc>
                <w:tcPr>
                  <w:tcW w:w="398" w:type="pct"/>
                  <w:shd w:val="clear" w:color="auto" w:fill="FFFFFF"/>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29"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打桩机</w:t>
                  </w:r>
                </w:p>
              </w:tc>
              <w:tc>
                <w:tcPr>
                  <w:tcW w:w="395"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79</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398"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29"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吊车</w:t>
                  </w:r>
                </w:p>
              </w:tc>
              <w:tc>
                <w:tcPr>
                  <w:tcW w:w="395"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82</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76</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398"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29"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挖掘机</w:t>
                  </w:r>
                </w:p>
              </w:tc>
              <w:tc>
                <w:tcPr>
                  <w:tcW w:w="395"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78</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72</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66</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52</w:t>
                  </w:r>
                </w:p>
              </w:tc>
              <w:tc>
                <w:tcPr>
                  <w:tcW w:w="398"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29"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切割机</w:t>
                  </w:r>
                </w:p>
              </w:tc>
              <w:tc>
                <w:tcPr>
                  <w:tcW w:w="395"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68</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54</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48</w:t>
                  </w:r>
                </w:p>
              </w:tc>
              <w:tc>
                <w:tcPr>
                  <w:tcW w:w="398"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29"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运输车辆</w:t>
                  </w:r>
                </w:p>
              </w:tc>
              <w:tc>
                <w:tcPr>
                  <w:tcW w:w="395"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85</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79</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73</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67</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65</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397"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398" w:type="pct"/>
                  <w:shd w:val="clear" w:color="auto" w:fill="FFFFFF"/>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上述数据及计算结果知，仅凭距离衰减，昼间在距施工机械30m处噪声即可符合《建筑施工场界环境噪声排放标准》（GB12523-2011）限值要求；夜间距施工机械150m处噪声才符合《建筑施工场界环境噪声排放标准》（GB12523-2011）限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根据现场踏勘，项目开关站周边有声环境敏感目标留丑村散户；为减少施工噪声对周围环境的影响，评价提出以下防治措施和要求：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①选择低噪声、低振动施工设备；施工设备进行定期保养和维护，严格按操作规范使用各类机械；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②合理布置施工作业点位置；加强施工车辆管理，尽可能减少鸣笛；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③施工安排在白天进行，禁止夜间施工，尽量缩短工期。靠近居民附近避免午休期间施工；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④严格施工现场管理，降低人为噪声。在装卸进程中，禁止野蛮作业，减少作业噪声。</w:t>
            </w:r>
          </w:p>
          <w:p>
            <w:pPr>
              <w:adjustRightInd w:val="0"/>
              <w:snapToGrid w:val="0"/>
              <w:rPr>
                <w:rFonts w:ascii="宋体" w:hAnsi="宋体" w:cs="宋体"/>
                <w:bCs/>
                <w:sz w:val="21"/>
                <w:szCs w:val="21"/>
              </w:rPr>
            </w:pPr>
            <w:r>
              <w:rPr>
                <w:rFonts w:hint="default" w:ascii="Times New Roman" w:hAnsi="Times New Roman" w:eastAsia="宋体" w:cs="Times New Roman"/>
                <w:sz w:val="21"/>
                <w:szCs w:val="21"/>
              </w:rPr>
              <w:t>采取上述措施，可避免施工噪声对周边环境的明显影响。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879" w:type="dxa"/>
            <w:noWrap w:val="0"/>
            <w:tcMar>
              <w:left w:w="28" w:type="dxa"/>
              <w:right w:w="28" w:type="dxa"/>
            </w:tcMar>
            <w:vAlign w:val="center"/>
          </w:tcPr>
          <w:p>
            <w:pPr>
              <w:pStyle w:val="15"/>
              <w:adjustRightInd w:val="0"/>
              <w:snapToGrid w:val="0"/>
              <w:spacing w:before="0" w:beforeAutospacing="0" w:after="0" w:afterAutospacing="0"/>
              <w:jc w:val="center"/>
              <w:rPr>
                <w:rFonts w:cs="宋体"/>
                <w:bCs/>
                <w:kern w:val="2"/>
                <w:sz w:val="21"/>
                <w:szCs w:val="21"/>
              </w:rPr>
            </w:pPr>
            <w:r>
              <w:rPr>
                <w:rFonts w:hint="eastAsia" w:cs="宋体"/>
                <w:bCs/>
                <w:spacing w:val="10"/>
                <w:kern w:val="2"/>
                <w:sz w:val="21"/>
                <w:szCs w:val="21"/>
              </w:rPr>
              <w:t>运营期生态环境影响分析</w:t>
            </w:r>
          </w:p>
        </w:tc>
        <w:tc>
          <w:tcPr>
            <w:tcW w:w="8363" w:type="dxa"/>
            <w:noWrap w:val="0"/>
            <w:vAlign w:val="top"/>
          </w:tcPr>
          <w:p>
            <w:pPr>
              <w:keepNext w:val="0"/>
              <w:keepLines w:val="0"/>
              <w:pageBreakBefore w:val="0"/>
              <w:widowControl w:val="0"/>
              <w:numPr>
                <w:ilvl w:val="0"/>
                <w:numId w:val="3"/>
              </w:numPr>
              <w:kinsoku/>
              <w:wordWrap/>
              <w:overflowPunct/>
              <w:topLinePunct w:val="0"/>
              <w:bidi w:val="0"/>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大气环境影响分析</w:t>
            </w:r>
          </w:p>
          <w:p>
            <w:pPr>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大气环境影响主要来源于职工餐厅油烟废气。本工程营运期定员为5人，一日三餐，按目前居民人均日食用油用量约为30g/人·d计算，每天餐厅食用油用量约为0.6kg/d，则年食用油用量约为0.05475t/a。根据调查，一般油烟挥发量占总耗油量的2～4%，本次评价取4%。油烟废气均经过油烟净化器处理，油烟去除效率按60%计。项目食用油消耗和油烟废气产生情况见表</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w:t>
            </w:r>
          </w:p>
          <w:p>
            <w:pPr>
              <w:pStyle w:val="16"/>
              <w:keepNext w:val="0"/>
              <w:keepLines w:val="0"/>
              <w:pageBreakBefore w:val="0"/>
              <w:widowControl w:val="0"/>
              <w:kinsoku/>
              <w:wordWrap/>
              <w:overflowPunct/>
              <w:topLinePunct w:val="0"/>
              <w:autoSpaceDE/>
              <w:autoSpaceDN/>
              <w:bidi w:val="0"/>
              <w:adjustRightInd/>
              <w:snapToGrid/>
              <w:spacing w:after="0" w:line="240" w:lineRule="auto"/>
              <w:ind w:firstLine="422"/>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w:t>
            </w:r>
            <w:r>
              <w:rPr>
                <w:rFonts w:hint="eastAsia" w:ascii="Times New Roman" w:hAnsi="Times New Roman" w:cs="Times New Roman"/>
                <w:b/>
                <w:bCs/>
                <w:sz w:val="21"/>
                <w:szCs w:val="21"/>
                <w:lang w:val="en-US" w:eastAsia="zh-CN"/>
              </w:rPr>
              <w:t>3</w:t>
            </w:r>
            <w:r>
              <w:rPr>
                <w:rFonts w:hint="default" w:ascii="Times New Roman" w:hAnsi="Times New Roman" w:eastAsia="宋体" w:cs="Times New Roman"/>
                <w:b/>
                <w:bCs/>
                <w:sz w:val="21"/>
                <w:szCs w:val="21"/>
              </w:rPr>
              <w:t xml:space="preserve">  项目食用油消耗和油烟废气产生情况</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711"/>
              <w:gridCol w:w="1711"/>
              <w:gridCol w:w="2198"/>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类型</w:t>
                  </w:r>
                </w:p>
              </w:tc>
              <w:tc>
                <w:tcPr>
                  <w:tcW w:w="94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耗油量（t/a）</w:t>
                  </w:r>
                </w:p>
              </w:tc>
              <w:tc>
                <w:tcPr>
                  <w:tcW w:w="94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油烟挥发系数</w:t>
                  </w:r>
                </w:p>
              </w:tc>
              <w:tc>
                <w:tcPr>
                  <w:tcW w:w="121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油烟产生量（t/a）</w:t>
                  </w:r>
                </w:p>
              </w:tc>
              <w:tc>
                <w:tcPr>
                  <w:tcW w:w="121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油烟排放量（t/a）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职工食堂</w:t>
                  </w:r>
                </w:p>
              </w:tc>
              <w:tc>
                <w:tcPr>
                  <w:tcW w:w="94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0.05475</w:t>
                  </w:r>
                </w:p>
              </w:tc>
              <w:tc>
                <w:tcPr>
                  <w:tcW w:w="946"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21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0.00219</w:t>
                  </w:r>
                </w:p>
              </w:tc>
              <w:tc>
                <w:tcPr>
                  <w:tcW w:w="1215"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0.000876</w:t>
                  </w:r>
                </w:p>
              </w:tc>
            </w:tr>
          </w:tbl>
          <w:p>
            <w:pPr>
              <w:keepNext w:val="0"/>
              <w:keepLines w:val="0"/>
              <w:pageBreakBefore w:val="0"/>
              <w:widowControl w:val="0"/>
              <w:kinsoku/>
              <w:wordWrap/>
              <w:overflowPunct/>
              <w:topLinePunct w:val="0"/>
              <w:bidi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厨房油烟经油烟净化器处理后引至食堂楼顶排放。项目配套安装风量1000m3/h的油烟净化器一台，食堂操作间每天集中工作时间按4小时计算，年工作365天，则计算出单位时间油烟排放量为0.6g/h，则油烟排放浓度为0.6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，可以满足《饮食业油烟排放标准》（GB18483-2001）中油烟排放浓度2.0mg/m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的限值要求，餐饮油烟废气对环境空气影响轻微。</w:t>
            </w:r>
          </w:p>
          <w:p>
            <w:pPr>
              <w:adjustRightInd w:val="0"/>
              <w:snapToGrid w:val="0"/>
              <w:rPr>
                <w:rFonts w:hint="default" w:ascii="宋体" w:hAnsi="宋体" w:eastAsia="宋体" w:cs="宋体"/>
                <w:bCs/>
                <w:sz w:val="21"/>
                <w:szCs w:val="21"/>
                <w:lang w:val="en-US" w:eastAsia="zh-CN"/>
              </w:rPr>
            </w:pPr>
            <w:r>
              <w:rPr>
                <w:rFonts w:hint="eastAsia" w:ascii="Times New Roman" w:hAnsi="Times New Roman" w:eastAsia="宋体" w:cs="Times New Roman"/>
                <w:b/>
                <w:bCs/>
                <w:sz w:val="21"/>
                <w:szCs w:val="21"/>
                <w:lang w:val="en-US" w:eastAsia="zh-CN"/>
              </w:rPr>
              <w:t>2、噪声影响分析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879" w:type="dxa"/>
            <w:noWrap w:val="0"/>
            <w:vAlign w:val="center"/>
          </w:tcPr>
          <w:p>
            <w:pPr>
              <w:pStyle w:val="15"/>
              <w:adjustRightInd w:val="0"/>
              <w:snapToGrid w:val="0"/>
              <w:spacing w:before="0" w:beforeAutospacing="0" w:after="0" w:afterAutospacing="0"/>
              <w:jc w:val="both"/>
              <w:rPr>
                <w:rFonts w:cs="宋体"/>
                <w:bCs/>
                <w:kern w:val="2"/>
                <w:sz w:val="21"/>
                <w:szCs w:val="21"/>
              </w:rPr>
            </w:pPr>
          </w:p>
        </w:tc>
        <w:tc>
          <w:tcPr>
            <w:tcW w:w="8363" w:type="dxa"/>
            <w:noWrap w:val="0"/>
            <w:vAlign w:val="top"/>
          </w:tcPr>
          <w:p>
            <w:pPr>
              <w:pStyle w:val="2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项目运行期的噪声主要是风机运转噪声。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①噪声源强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电机组产生的噪声主要由两部分组成：机械噪声和空气动力学噪声，机械噪声主要来自齿轮箱、轴承、电机，空气动力学噪声产生于风电机组叶片与空气撞击引起的压力脉动，其中的空气动力学噪声是主要的噪声来源。根据浙江大学《风电机组噪声预测》，当风速为8m/s时，兆瓦级以下的风电机组声功率级在98~104dB(A)之间，其噪声呈现明显的低频特性。本环评按单个风电机组声功率级最大104dB(A）进行预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②预测方案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a)根据可研，本项目风力发电机群的排列是根据测风塔所测得当地逢场参数确定，风机分布间距不小于3.5D=514.5m（D为风机直径-147m）。通常，风机排距超过200m，相互之间的影响可以忽略。因此本项目主要存在单机噪声源影响，不考虑风机群的噪声影响问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由于风机一般位于海拔较高的山梁上，风机四周地形开阔，周围村庄距离较远，且风机高度较高，因此不考虑地面植被等引起的噪声衰减、传播中建筑物的阻挡、地面反射作用及空气吸收、雨、雪、温度等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c）根据《环境影响评价技术导则声环境》，采用点声源预测模式。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③预测模式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风机配套轮毂距地面高度为95m，因此采用自由声场点声源几何发散衰减模式预测距声源不同距离处的噪声值。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声源衰减公式为：</w:t>
            </w:r>
          </w:p>
          <w:p>
            <w:pPr>
              <w:pStyle w:val="23"/>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position w:val="-14"/>
                <w:sz w:val="21"/>
                <w:szCs w:val="21"/>
              </w:rPr>
              <w:object>
                <v:shape id="_x0000_i1025" o:spt="75" type="#_x0000_t75" style="height:19.1pt;width:126.1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Lp(r)——噪声源在预测点的声压级，dB(A)；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LAW——噪声源声功率级，dB(A)；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r——声源中心至预测点的距离，m。</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④预测结果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风机轮毂中心距地面95m，以此处作为预测计算的点声源中心，预测距离地面1.2m处的风电机组噪声贡献值（不考虑预测点与风电机组基底的海拔高度差距）。单个风机随距离衰减预测结果见表7-7。根据计算，本项目风电机噪声贡献值在距离风机150m处可达到《工业企业厂界环境噪声排放标准》（GB12348-2008）2类标准夜间噪声要求（50dB（A））。</w:t>
            </w:r>
          </w:p>
          <w:p>
            <w:pPr>
              <w:ind w:firstLine="422"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 xml:space="preserve">  单台风机噪声贡献值预测结果</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693"/>
              <w:gridCol w:w="661"/>
              <w:gridCol w:w="693"/>
              <w:gridCol w:w="692"/>
              <w:gridCol w:w="692"/>
              <w:gridCol w:w="692"/>
              <w:gridCol w:w="692"/>
              <w:gridCol w:w="692"/>
              <w:gridCol w:w="693"/>
              <w:gridCol w:w="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1720" w:type="dxa"/>
                  <w:tcBorders>
                    <w:tl2br w:val="nil"/>
                    <w:tr2bl w:val="nil"/>
                  </w:tcBorders>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6899" w:type="dxa"/>
                  <w:gridSpan w:val="10"/>
                  <w:tcBorders>
                    <w:tl2br w:val="nil"/>
                    <w:tr2bl w:val="nil"/>
                  </w:tcBorders>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不同距离噪声贡献预测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720"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与风机距离（m）</w:t>
                  </w:r>
                </w:p>
              </w:tc>
              <w:tc>
                <w:tcPr>
                  <w:tcW w:w="693"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661"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c>
                <w:tcPr>
                  <w:tcW w:w="693" w:type="dxa"/>
                  <w:tcBorders>
                    <w:tl2br w:val="nil"/>
                    <w:tr2bl w:val="nil"/>
                  </w:tcBorders>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115</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350</w:t>
                  </w:r>
                </w:p>
              </w:tc>
              <w:tc>
                <w:tcPr>
                  <w:tcW w:w="693"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400</w:t>
                  </w:r>
                </w:p>
              </w:tc>
              <w:tc>
                <w:tcPr>
                  <w:tcW w:w="699"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1720"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噪声贡献值dB(A)</w:t>
                  </w:r>
                </w:p>
              </w:tc>
              <w:tc>
                <w:tcPr>
                  <w:tcW w:w="693"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59.0</w:t>
                  </w:r>
                </w:p>
              </w:tc>
              <w:tc>
                <w:tcPr>
                  <w:tcW w:w="661"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693"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51.6</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49.5</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47.0</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45.0</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43.5</w:t>
                  </w:r>
                </w:p>
              </w:tc>
              <w:tc>
                <w:tcPr>
                  <w:tcW w:w="692"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42.1</w:t>
                  </w:r>
                </w:p>
              </w:tc>
              <w:tc>
                <w:tcPr>
                  <w:tcW w:w="693"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40.8</w:t>
                  </w:r>
                </w:p>
              </w:tc>
              <w:tc>
                <w:tcPr>
                  <w:tcW w:w="699" w:type="dxa"/>
                  <w:tcBorders>
                    <w:tl2br w:val="nil"/>
                    <w:tr2bl w:val="nil"/>
                  </w:tcBorders>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39.8</w:t>
                  </w:r>
                </w:p>
              </w:tc>
            </w:tr>
          </w:tbl>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⑤影响分析</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预测结果，本项目单台风机噪声贡献值在150m处可达到《工业企业厂界环境噪声排放标准》（GB12348-2008）2类标准和《风电场噪声限值及测量方法》（DL/T1084-2008）2类标准。单台风机噪声贡献值在150m处为49.5dB（A），经现场调查，项目区内各风机间距最小距离594m，且各风机周围200m范围内无声环境敏感目标，声环境质量满足《声环境质量标准》（GB3096-2008）2类区标准，且一般正常情况下，风机多数都非满负荷运行。因此，风机噪声不会对居民声环境产生扰民影响。</w:t>
            </w:r>
          </w:p>
          <w:p>
            <w:pPr>
              <w:spacing w:line="360" w:lineRule="auto"/>
              <w:ind w:firstLine="422" w:firstLineChars="200"/>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fldChar w:fldCharType="begin"/>
            </w:r>
            <w:r>
              <w:rPr>
                <w:rFonts w:hint="default" w:ascii="Times New Roman" w:hAnsi="Times New Roman" w:eastAsia="宋体" w:cs="Times New Roman"/>
                <w:b/>
                <w:bCs/>
                <w:color w:val="auto"/>
                <w:sz w:val="21"/>
                <w:szCs w:val="21"/>
              </w:rPr>
              <w:instrText xml:space="preserve"> = 6 \* GB3 \* MERGEFORMAT </w:instrText>
            </w:r>
            <w:r>
              <w:rPr>
                <w:rFonts w:hint="default" w:ascii="Times New Roman" w:hAnsi="Times New Roman" w:eastAsia="宋体" w:cs="Times New Roman"/>
                <w:b/>
                <w:bCs/>
                <w:color w:val="auto"/>
                <w:sz w:val="21"/>
                <w:szCs w:val="21"/>
              </w:rPr>
              <w:fldChar w:fldCharType="separate"/>
            </w:r>
            <w:r>
              <w:rPr>
                <w:b/>
                <w:bCs/>
                <w:color w:val="auto"/>
                <w:sz w:val="21"/>
                <w:szCs w:val="21"/>
              </w:rPr>
              <w:t>⑥</w:t>
            </w:r>
            <w:r>
              <w:rPr>
                <w:rFonts w:hint="default" w:ascii="Times New Roman" w:hAnsi="Times New Roman" w:eastAsia="宋体" w:cs="Times New Roman"/>
                <w:b/>
                <w:bCs/>
                <w:color w:val="auto"/>
                <w:sz w:val="21"/>
                <w:szCs w:val="21"/>
              </w:rPr>
              <w:fldChar w:fldCharType="end"/>
            </w:r>
            <w:r>
              <w:rPr>
                <w:rFonts w:hint="eastAsia" w:ascii="Times New Roman" w:hAnsi="Times New Roman" w:eastAsia="宋体" w:cs="Times New Roman"/>
                <w:b/>
                <w:bCs/>
                <w:color w:val="auto"/>
                <w:sz w:val="21"/>
                <w:szCs w:val="21"/>
                <w:lang w:val="en-US" w:eastAsia="zh-CN"/>
              </w:rPr>
              <w:t>风电场监测类比</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本次环评收集到陕西博厚建设环保工程有限公司于2020年12月编制的《明阳靖边宁条梁50MW风电工程建设项目竣工环境保护验收调查表》。（见附件9）</w:t>
            </w:r>
          </w:p>
          <w:p>
            <w:pPr>
              <w:spacing w:line="360" w:lineRule="auto"/>
              <w:ind w:firstLine="420" w:firstLineChars="200"/>
              <w:rPr>
                <w:rFonts w:hint="default" w:ascii="Times New Roman" w:hAnsi="Times New Roman" w:eastAsia="宋体" w:cs="Times New Roman"/>
                <w:color w:val="auto"/>
                <w:sz w:val="21"/>
                <w:szCs w:val="21"/>
                <w:lang w:val="en-US"/>
              </w:rPr>
            </w:pPr>
            <w:r>
              <w:rPr>
                <w:rFonts w:hint="eastAsia" w:ascii="Times New Roman" w:hAnsi="Times New Roman" w:eastAsia="宋体" w:cs="Times New Roman"/>
                <w:color w:val="auto"/>
                <w:sz w:val="21"/>
                <w:szCs w:val="21"/>
                <w:lang w:val="en-US" w:eastAsia="zh-CN"/>
              </w:rPr>
              <w:t>明阳靖边宁条梁50MW风电工程建设项目是由陕西靖边明阳新能源发电有限公司投资兴建，该工程与本工程采用相似风机且当地风速高于该项目。因此具备类比条件。</w:t>
            </w:r>
          </w:p>
          <w:p>
            <w:pPr>
              <w:spacing w:line="360" w:lineRule="auto"/>
              <w:ind w:firstLine="420" w:firstLineChars="20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陕西中测检测科技股份有限公司于2020年9月4日~9月5日对8#机位运行噪声进行了衰减监测，监测结果见表</w:t>
            </w:r>
            <w:r>
              <w:rPr>
                <w:rFonts w:hint="eastAsia" w:ascii="Times New Roman" w:hAnsi="Times New Roman" w:cs="Times New Roman"/>
                <w:color w:val="auto"/>
                <w:sz w:val="21"/>
                <w:szCs w:val="21"/>
                <w:lang w:val="en-US" w:eastAsia="zh-CN"/>
              </w:rPr>
              <w:t>4</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表</w:t>
            </w:r>
            <w:r>
              <w:rPr>
                <w:rFonts w:hint="eastAsia" w:ascii="Times New Roman" w:hAnsi="Times New Roman" w:cs="Times New Roman"/>
                <w:b/>
                <w:bCs/>
                <w:color w:val="auto"/>
                <w:sz w:val="21"/>
                <w:szCs w:val="21"/>
                <w:lang w:val="en-US" w:eastAsia="zh-CN"/>
              </w:rPr>
              <w:t>4</w:t>
            </w:r>
            <w:r>
              <w:rPr>
                <w:rFonts w:hint="eastAsia" w:ascii="Times New Roman" w:hAnsi="Times New Roman" w:eastAsia="宋体" w:cs="Times New Roman"/>
                <w:b/>
                <w:bCs/>
                <w:color w:val="auto"/>
                <w:sz w:val="21"/>
                <w:szCs w:val="21"/>
                <w:lang w:val="en-US" w:eastAsia="zh-CN"/>
              </w:rPr>
              <w:t>-</w:t>
            </w:r>
            <w:r>
              <w:rPr>
                <w:rFonts w:hint="eastAsia" w:ascii="Times New Roman" w:hAnsi="Times New Roman" w:cs="Times New Roman"/>
                <w:b/>
                <w:bCs/>
                <w:color w:val="auto"/>
                <w:sz w:val="21"/>
                <w:szCs w:val="21"/>
                <w:lang w:val="en-US" w:eastAsia="zh-CN"/>
              </w:rPr>
              <w:t>5</w:t>
            </w:r>
            <w:r>
              <w:rPr>
                <w:rFonts w:hint="eastAsia" w:ascii="Times New Roman" w:hAnsi="Times New Roman" w:eastAsia="宋体" w:cs="Times New Roman"/>
                <w:b/>
                <w:bCs/>
                <w:color w:val="auto"/>
                <w:sz w:val="21"/>
                <w:szCs w:val="21"/>
                <w:lang w:val="en-US" w:eastAsia="zh-CN"/>
              </w:rPr>
              <w:t xml:space="preserve">  噪声衰减监测结果一览表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7"/>
              <w:gridCol w:w="1718"/>
              <w:gridCol w:w="1718"/>
              <w:gridCol w:w="171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测点编号、位置</w:t>
                  </w:r>
                </w:p>
              </w:tc>
              <w:tc>
                <w:tcPr>
                  <w:tcW w:w="19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val="en-US" w:eastAsia="zh-CN"/>
                    </w:rPr>
                    <w:t>2020年9月4日</w:t>
                  </w:r>
                </w:p>
              </w:tc>
              <w:tc>
                <w:tcPr>
                  <w:tcW w:w="1900"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2020年9月5日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昼间dB（A）</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夜间dB（A）</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昼间dB（A）</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夜间dB（A）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8#机位北侧50m</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48</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val="en-US" w:eastAsia="zh-CN"/>
                    </w:rPr>
                    <w:t>8#机位北侧100m</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42</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val="en-US" w:eastAsia="zh-CN"/>
                    </w:rPr>
                    <w:t>8#机位北侧200m</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eastAsia="zh-CN"/>
                    </w:rPr>
                  </w:pPr>
                  <w:r>
                    <w:rPr>
                      <w:rFonts w:hint="eastAsia" w:ascii="Times New Roman" w:hAnsi="Times New Roman" w:eastAsia="宋体" w:cs="Times New Roman"/>
                      <w:color w:val="auto"/>
                      <w:sz w:val="21"/>
                      <w:szCs w:val="21"/>
                      <w:vertAlign w:val="baseline"/>
                      <w:lang w:val="en-US" w:eastAsia="zh-CN"/>
                    </w:rPr>
                    <w:t>8#机位北侧3000m</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41</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c>
                <w:tcPr>
                  <w:tcW w:w="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气象条件</w:t>
                  </w:r>
                </w:p>
              </w:tc>
              <w:tc>
                <w:tcPr>
                  <w:tcW w:w="38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9月4日：昼间：晴，风速：3.3m/s；夜间：晴，风速3.2m/s；</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9月5日：昼间：晴，风速：3.1m/s；夜间：晴，风速3.0m/s。</w:t>
                  </w:r>
                </w:p>
              </w:tc>
            </w:tr>
          </w:tbl>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风电场风机监测结果表明：距风机50m范围内，噪声可降至50dB（A）以下，达到《声环境质量标准》和《风电场噪声限值及测量方法》中2类标准限值。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综上所述，风机噪声不会对居民声环境产生扰民影响。结合预测结果及类比结果，本次环评建议设置噪声防护距离为150m。</w:t>
            </w:r>
          </w:p>
          <w:p>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4、固体废弃物影响分析</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本项目运营期固体废弃物主要是开关站工作人员产生的生活垃圾、</w:t>
            </w:r>
            <w:r>
              <w:rPr>
                <w:rFonts w:hint="eastAsia" w:ascii="Times New Roman" w:hAnsi="Times New Roman" w:eastAsia="宋体" w:cs="Times New Roman"/>
                <w:sz w:val="21"/>
                <w:szCs w:val="21"/>
                <w:lang w:val="en-US" w:eastAsia="zh-CN"/>
              </w:rPr>
              <w:t>餐饮废油脂、</w:t>
            </w:r>
            <w:r>
              <w:rPr>
                <w:rFonts w:hint="default" w:ascii="Times New Roman" w:hAnsi="Times New Roman" w:eastAsia="宋体" w:cs="Times New Roman"/>
                <w:sz w:val="21"/>
                <w:szCs w:val="21"/>
              </w:rPr>
              <w:t>废变压器、检修废机油、事故变压器油等。</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（1）危险废物</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1 \* GB3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①</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设备检修固废</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在运营期风电机组、箱式变压器等设备检修时会产生少量的废机油和检修油污垃圾（含油抹布），产生量约为0.02/a。根据《国家危险废物名录》，设备检修固废属危险废物[HW08废矿物油与含矿物油废物，900-249-08]，集中收集暂存于开关站内的危废暂存间，交由有资质的单位处置。</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2 \* GB3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②</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废变压器油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kV油浸式箱式变压器在事故工况时会产生废变压油，废油产生量为2.5t/a（以每年更换一个箱式变压器中变压器油计算），属于危险废物（HW08废矿物油与含矿物900-220-08/900-219-08）。要求在每个风机下的箱式变压器处各设置1个2.5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的防渗事故油池，并在箱式变压器装置区设制事故油收集及导流系统，一旦发生渗油事故后经导流系统排入事故油池，交由有资质的单位处置。</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3 \* GB3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③</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废润滑油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电机组与变压器等机械需定期添加和更换润滑油，更换后的废弃润滑油产生量约为0.02t/a。根据《国家危险废物名录》，废润滑油属于危险废物（HW08废矿物油与含矿物油废物900-217-08），要求统一收集在废润滑油油桶内，在危废暂存间暂存后交由有资质单位处置。</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4 \* GB3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④</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废箱式变压器</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运营过程中，风电场内有部分变压器损坏、报废情况，废变压器产生量约0.1t/a。根据《国家危险废物名录》，废变压器属危险废物[HW10多氯（溴）联苯类废物，代码：900-008-10）]，集中收集，暂存于开关站内的危废暂存间，交由有资质的单位处置。</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项目35kV开关站拟建危险废物暂存间1座（10m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用于危险废物的暂存，定期交由有资质的单位处置。危险废物暂存间应严格按照《危险废物贮存污染控制标准》（GB18597-2001）（2013年修订）及其修改单及《危险废物收集、贮存、运输技术规范》（HJ2025-2012）等相关要求对其进行收集、贮存、转移及运输。</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对危险废物管理、暂存、处置，环评提出以下建议：</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①危废暂存间应严格按照《危险废物贮存污染控制标准》（GB18597-2001）要求进行，要做到防风、防雨、防渗、防晒，根据危险废物的种类分别设有废机油、变压器等暂存区。</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②基础必须防渗，防渗层为2mm厚高密度聚乙烯或至少2mm厚的其它人工材料，渗透系数≤10-10cm/s。衬里放在一个基础或底座上，衬里材料与堆放危险废物相容。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③装载废机油等液体危险废物的容器内须留足够空间，容器顶部与液体表面之间保留100mm以上的空间。不相容的危险废物必须分开存放，并设有隔离间隔断。</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④装载废废机油的容器底部设金属托盘，防漏、防渗、防腐蚀。</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⑤运营期应做好危险废物情况记录，填写危废转移联单，记录上须注明危险废物的名称、来源、数量、特性和包装容器的类别、入库日期、存放库位、废物出库日期及接收单位名称。</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⑥危险废物暂存间必须粘贴符合国家标准的标签标识，设置双人双锁管理。危险废物需要按照《危险废物贮存污染控制标准》（GB18597-2001）及其修改单（环保部公告2013年第36号）的规定，进行储存、转移和处置且按国家有关规定申报登记。 </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经上述措施处置后，固体废物基本不对外环境造成影响。评价建议建设单位在本项目运行前应与具有危险废物处置资质的单位签定处置协议。</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（2）一般固废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本项目一般固废主要为生活垃圾，年产生量为0.75t/a。分类集中收集后，全部交由环卫部门统一处理</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工作人员就餐过程食堂废油脂产生量按每天1kg计，则产生量为0.3</w:t>
            </w:r>
            <w:r>
              <w:rPr>
                <w:rFonts w:hint="eastAsia" w:ascii="Times New Roman" w:hAnsi="Times New Roman" w:eastAsia="宋体" w:cs="Times New Roman"/>
                <w:sz w:val="21"/>
                <w:szCs w:val="21"/>
                <w:lang w:val="en-US" w:eastAsia="zh-CN"/>
              </w:rPr>
              <w:t>65</w:t>
            </w:r>
            <w:r>
              <w:rPr>
                <w:rFonts w:hint="default" w:ascii="Times New Roman" w:hAnsi="Times New Roman" w:eastAsia="宋体" w:cs="Times New Roman"/>
                <w:sz w:val="21"/>
                <w:szCs w:val="21"/>
              </w:rPr>
              <w:t>t/a，收集后交由有资质的单位处理。</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5、环境风险分析</w:t>
            </w:r>
          </w:p>
          <w:p>
            <w:pPr>
              <w:pStyle w:val="24"/>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建设项目环境风险评价技术导则》（HJ169-2018）要求，对于涉及有毒有害和易燃易爆危险物质生产、使用、储存（包括使用管线输运）的建设项目可能发生的突发性事故（不包括人为破坏及自然灾害引发的事故）进行环境风险评价。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spacing w:line="360" w:lineRule="auto"/>
              <w:ind w:firstLine="422" w:firstLineChars="200"/>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lang w:eastAsia="zh-CN"/>
              </w:rPr>
              <w:t>）</w:t>
            </w:r>
            <w:r>
              <w:rPr>
                <w:rFonts w:hint="default" w:ascii="Times New Roman" w:hAnsi="Times New Roman" w:eastAsia="宋体" w:cs="Times New Roman"/>
                <w:b/>
                <w:bCs/>
                <w:color w:val="auto"/>
                <w:sz w:val="21"/>
                <w:szCs w:val="21"/>
              </w:rPr>
              <w:t>环境风险潜势初判</w:t>
            </w:r>
          </w:p>
          <w:p>
            <w:pPr>
              <w:pStyle w:val="24"/>
              <w:spacing w:line="360" w:lineRule="auto"/>
              <w:ind w:firstLine="48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建设项目生产、使用、储存过程中涉及的有毒有害、易燃易爆物质，参见附录B确定危险物质的临界量。定量分析危险物质数量与临界量的比值（Q）和所属行业及生产工艺特点（M），按附录C对危险物质及工艺系统危险性（P）等级进行判断。结果如下表所示：</w:t>
            </w:r>
          </w:p>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w:t>
            </w:r>
            <w:r>
              <w:rPr>
                <w:rFonts w:hint="eastAsia" w:ascii="Times New Roman" w:hAnsi="Times New Roman" w:cs="Times New Roman"/>
                <w:b/>
                <w:bCs/>
                <w:sz w:val="21"/>
                <w:szCs w:val="21"/>
                <w:lang w:val="en-US" w:eastAsia="zh-CN"/>
              </w:rPr>
              <w:t>6</w:t>
            </w:r>
            <w:r>
              <w:rPr>
                <w:rFonts w:hint="default" w:ascii="Times New Roman" w:hAnsi="Times New Roman" w:eastAsia="宋体" w:cs="Times New Roman"/>
                <w:b/>
                <w:bCs/>
                <w:sz w:val="21"/>
                <w:szCs w:val="21"/>
              </w:rPr>
              <w:t xml:space="preserve">  项目危险源识别表（单位：t）</w:t>
            </w:r>
          </w:p>
          <w:tbl>
            <w:tblPr>
              <w:tblStyle w:val="17"/>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1843"/>
              <w:gridCol w:w="1417"/>
              <w:gridCol w:w="1701"/>
              <w:gridCol w:w="156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843"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风险物质名称</w:t>
                  </w:r>
                </w:p>
              </w:tc>
              <w:tc>
                <w:tcPr>
                  <w:tcW w:w="1417"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CAS号</w:t>
                  </w:r>
                </w:p>
              </w:tc>
              <w:tc>
                <w:tcPr>
                  <w:tcW w:w="1701"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储存量/t</w:t>
                  </w:r>
                </w:p>
              </w:tc>
              <w:tc>
                <w:tcPr>
                  <w:tcW w:w="1560"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临界量/t</w:t>
                  </w:r>
                </w:p>
              </w:tc>
              <w:tc>
                <w:tcPr>
                  <w:tcW w:w="1826"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43"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变压器油</w:t>
                  </w:r>
                </w:p>
              </w:tc>
              <w:tc>
                <w:tcPr>
                  <w:tcW w:w="1417"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01"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1560"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2500</w:t>
                  </w:r>
                </w:p>
              </w:tc>
              <w:tc>
                <w:tcPr>
                  <w:tcW w:w="1826"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94"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43"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机油</w:t>
                  </w:r>
                </w:p>
              </w:tc>
              <w:tc>
                <w:tcPr>
                  <w:tcW w:w="1417"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01"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1560"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2500</w:t>
                  </w:r>
                </w:p>
              </w:tc>
              <w:tc>
                <w:tcPr>
                  <w:tcW w:w="1826"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215" w:type="dxa"/>
                  <w:gridSpan w:val="5"/>
                  <w:tcBorders>
                    <w:top w:val="single" w:color="auto" w:sz="4" w:space="0"/>
                    <w:left w:val="single" w:color="auto" w:sz="4" w:space="0"/>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项目Q值</w:t>
                  </w:r>
                </w:p>
              </w:tc>
              <w:tc>
                <w:tcPr>
                  <w:tcW w:w="1826" w:type="dxa"/>
                  <w:tcBorders>
                    <w:top w:val="single" w:color="auto" w:sz="4" w:space="0"/>
                    <w:left w:val="nil"/>
                    <w:bottom w:val="single" w:color="auto" w:sz="4" w:space="0"/>
                    <w:right w:val="single" w:color="auto" w:sz="4" w:space="0"/>
                  </w:tcBorders>
                  <w:noWrap/>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0.0122</w:t>
                  </w:r>
                </w:p>
              </w:tc>
            </w:tr>
          </w:tbl>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当只涉及一种危险物质时，计算该物质的总量与其临界量的比值，即为Q；当存在多种危险物质时，则按式（C.1）计算物质总量与其临界值的比值（Q）。</w:t>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Q=q1/Q1+q2/Q2……＋qn/Qn</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式中：q1、q2、…qn为每种环境风险物质的最大存在总量，单位t；</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Q1、Q2、…Qn 为每种环境风险物质对应的的临界量，单位t。</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当Q＜1时，项目环境风险潜势为I；</w:t>
            </w:r>
          </w:p>
          <w:p>
            <w:pPr>
              <w:spacing w:line="360" w:lineRule="auto"/>
              <w:ind w:firstLine="48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当Q≥1时，将Q值划分为：（1）1 ≤Q＜10；（2）10≤Q＜100；（3）Q≥100。</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根据上述辨识结果，项目ΣQ=0.0122＜1。</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（2）风险评价等级划分依据</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根据《建设项目环境风险评价技术导则》（HJ/T169-2018）,环境风险评价工作等级划分为一级、二级和三级。根据建设项目涉及的危险物质、工艺系统危险性和项目所在地环境敏感性确定环境风险潜势，具体见表</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rPr>
              <w:t>。</w:t>
            </w:r>
          </w:p>
          <w:p>
            <w:pPr>
              <w:pStyle w:val="24"/>
              <w:ind w:firstLine="422"/>
              <w:jc w:val="center"/>
              <w:rPr>
                <w:rFonts w:hint="default" w:ascii="Times New Roman" w:hAnsi="Times New Roman" w:eastAsia="宋体" w:cs="Times New Roman"/>
                <w:sz w:val="21"/>
                <w:szCs w:val="21"/>
              </w:rPr>
            </w:pPr>
            <w:r>
              <w:rPr>
                <w:rFonts w:hint="default" w:ascii="Times New Roman" w:hAnsi="Times New Roman" w:eastAsia="宋体" w:cs="Times New Roman"/>
                <w:b/>
                <w:bCs/>
                <w:color w:val="auto"/>
                <w:sz w:val="21"/>
                <w:szCs w:val="21"/>
              </w:rPr>
              <w:t>表</w:t>
            </w:r>
            <w:r>
              <w:rPr>
                <w:rFonts w:hint="eastAsia" w:ascii="Times New Roman" w:hAnsi="Times New Roman" w:cs="Times New Roman"/>
                <w:b/>
                <w:bCs/>
                <w:color w:val="auto"/>
                <w:sz w:val="21"/>
                <w:szCs w:val="21"/>
                <w:lang w:val="en-US" w:eastAsia="zh-CN"/>
              </w:rPr>
              <w:t>4</w:t>
            </w:r>
            <w:r>
              <w:rPr>
                <w:rFonts w:hint="default" w:ascii="Times New Roman" w:hAnsi="Times New Roman" w:eastAsia="宋体" w:cs="Times New Roman"/>
                <w:b/>
                <w:bCs/>
                <w:color w:val="auto"/>
                <w:sz w:val="21"/>
                <w:szCs w:val="21"/>
              </w:rPr>
              <w:t>-</w:t>
            </w:r>
            <w:r>
              <w:rPr>
                <w:rFonts w:hint="eastAsia" w:ascii="Times New Roman" w:hAnsi="Times New Roman" w:cs="Times New Roman"/>
                <w:b/>
                <w:bCs/>
                <w:color w:val="auto"/>
                <w:sz w:val="21"/>
                <w:szCs w:val="21"/>
                <w:lang w:val="en-US" w:eastAsia="zh-CN"/>
              </w:rPr>
              <w:t>7</w:t>
            </w:r>
            <w:r>
              <w:rPr>
                <w:rFonts w:hint="default" w:ascii="Times New Roman" w:hAnsi="Times New Roman" w:eastAsia="宋体" w:cs="Times New Roman"/>
                <w:b/>
                <w:bCs/>
                <w:color w:val="auto"/>
                <w:sz w:val="21"/>
                <w:szCs w:val="21"/>
              </w:rPr>
              <w:t xml:space="preserve">  评价工作等级判断表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1813"/>
              <w:gridCol w:w="1808"/>
              <w:gridCol w:w="180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环境风险潜势</w:t>
                  </w:r>
                </w:p>
              </w:tc>
              <w:tc>
                <w:tcPr>
                  <w:tcW w:w="1846"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IV，IV+</w:t>
                  </w:r>
                </w:p>
              </w:tc>
              <w:tc>
                <w:tcPr>
                  <w:tcW w:w="1847"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III</w:t>
                  </w:r>
                </w:p>
              </w:tc>
              <w:tc>
                <w:tcPr>
                  <w:tcW w:w="1847"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II</w:t>
                  </w:r>
                </w:p>
              </w:tc>
              <w:tc>
                <w:tcPr>
                  <w:tcW w:w="1847"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评价工作等级</w:t>
                  </w:r>
                </w:p>
              </w:tc>
              <w:tc>
                <w:tcPr>
                  <w:tcW w:w="1846"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w:t>
                  </w:r>
                </w:p>
              </w:tc>
              <w:tc>
                <w:tcPr>
                  <w:tcW w:w="1847"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w:t>
                  </w:r>
                </w:p>
              </w:tc>
              <w:tc>
                <w:tcPr>
                  <w:tcW w:w="1847"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w:t>
                  </w:r>
                </w:p>
              </w:tc>
              <w:tc>
                <w:tcPr>
                  <w:tcW w:w="1847"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3"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a是相对于详细评价工作内容而言，在描述危险物质、环境影响途径、环境危害后果、风险防范措施等方面给出定性的说明。见《建设项目环境风险评价技术导则》（HJ 169-2018）附录A。</w:t>
                  </w:r>
                </w:p>
              </w:tc>
            </w:tr>
          </w:tbl>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根据上表可知，本项目环境风险评价工作等级确定为简单分析。</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（3）风险识别</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根据引起有毒有害物质向环境放散的危害环境事故起因，将风险类型分为火灾、爆炸和泄漏三种类型。物质风险识别范围主要为项目输送过程涉及的原料。</w:t>
            </w:r>
          </w:p>
          <w:p>
            <w:pPr>
              <w:pStyle w:val="22"/>
              <w:numPr>
                <w:ilvl w:val="0"/>
                <w:numId w:val="0"/>
              </w:numPr>
              <w:spacing w:line="360" w:lineRule="auto"/>
              <w:ind w:left="480" w:left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1 \* GB3 \* MERGEFORMAT </w:instrText>
            </w:r>
            <w:r>
              <w:rPr>
                <w:rFonts w:hint="default" w:ascii="Times New Roman" w:hAnsi="Times New Roman" w:eastAsia="宋体" w:cs="Times New Roman"/>
                <w:b/>
                <w:bCs/>
                <w:sz w:val="21"/>
                <w:szCs w:val="21"/>
              </w:rPr>
              <w:fldChar w:fldCharType="separate"/>
            </w:r>
            <w:r>
              <w:rPr>
                <w:b/>
                <w:bCs/>
              </w:rPr>
              <w:t>①</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有毒物质、易燃物质、爆炸性物质分类标准及方法</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根据《建设项目环境风险评价技术导则》(HJ/T169-2018)中的规定，对本项目所涉及的有毒有害、易燃易爆物质进行分类，特性分类见表</w:t>
            </w:r>
            <w:r>
              <w:rPr>
                <w:rFonts w:hint="eastAsia" w:ascii="Times New Roman" w:hAnsi="Times New Roman" w:cs="Times New Roman"/>
                <w:sz w:val="21"/>
                <w:szCs w:val="21"/>
                <w:lang w:val="en-US" w:eastAsia="zh-CN"/>
              </w:rPr>
              <w:t>4-8</w:t>
            </w:r>
            <w:r>
              <w:rPr>
                <w:rFonts w:hint="default" w:ascii="Times New Roman" w:hAnsi="Times New Roman" w:eastAsia="宋体" w:cs="Times New Roman"/>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w:t>
            </w:r>
            <w:r>
              <w:rPr>
                <w:rFonts w:hint="eastAsia" w:ascii="Times New Roman" w:hAnsi="Times New Roman" w:cs="Times New Roman"/>
                <w:b/>
                <w:bCs/>
                <w:sz w:val="21"/>
                <w:szCs w:val="21"/>
                <w:lang w:val="en-US" w:eastAsia="zh-CN"/>
              </w:rPr>
              <w:t>8</w:t>
            </w:r>
            <w:r>
              <w:rPr>
                <w:rFonts w:hint="default" w:ascii="Times New Roman" w:hAnsi="Times New Roman" w:eastAsia="宋体" w:cs="Times New Roman"/>
                <w:b/>
                <w:bCs/>
                <w:sz w:val="21"/>
                <w:szCs w:val="21"/>
              </w:rPr>
              <w:t xml:space="preserve">  建设项目环境风险评价技术导则物质（矿物油）危险特性表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981"/>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8203" w:type="dxa"/>
                  <w:gridSpan w:val="2"/>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标识</w:t>
                  </w:r>
                </w:p>
              </w:tc>
              <w:tc>
                <w:tcPr>
                  <w:tcW w:w="8203" w:type="dxa"/>
                  <w:gridSpan w:val="2"/>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分子式C5-C20，平均相对分子量为300~500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理化性质</w:t>
                  </w:r>
                </w:p>
              </w:tc>
              <w:tc>
                <w:tcPr>
                  <w:tcW w:w="8203" w:type="dxa"/>
                  <w:gridSpan w:val="2"/>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矿物基础油由链烷烃、环烷烃、芳烃，以及含氧、含氮、含硫有机化合物和胶质、沥青等组成。粘度等级 40-100℃；沸点：350-535℃；闪点:220-270℃；密度840-880kg/m3；油状液体，不溶于水，不易挥发。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危险品</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特性</w:t>
                  </w:r>
                </w:p>
              </w:tc>
              <w:tc>
                <w:tcPr>
                  <w:tcW w:w="8203" w:type="dxa"/>
                  <w:gridSpan w:val="2"/>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属于可燃液体，其火灾危险性属于丙 B 类，温度过高可能引起燃烧，原料油周围有引燃源，超过油液的闪点会引起火灾。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毒理学</w:t>
                  </w:r>
                </w:p>
                <w:p>
                  <w:pPr>
                    <w:pStyle w:val="24"/>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资料及</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健康危</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害</w:t>
                  </w:r>
                </w:p>
              </w:tc>
              <w:tc>
                <w:tcPr>
                  <w:tcW w:w="993"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毒性</w:t>
                  </w:r>
                </w:p>
              </w:tc>
              <w:tc>
                <w:tcPr>
                  <w:tcW w:w="7210" w:type="dxa"/>
                  <w:tcBorders>
                    <w:top w:val="single" w:color="auto" w:sz="4" w:space="0"/>
                    <w:left w:val="nil"/>
                    <w:bottom w:val="single" w:color="auto" w:sz="4" w:space="0"/>
                    <w:right w:val="single" w:color="auto" w:sz="4" w:space="0"/>
                  </w:tcBorders>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属低毒类。油液接触皮肤，对皮肤有一定伤害，如润滑油进入眼睛，</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眼睛有强烈刺激感，并可造成眼睛红肿及视力受到伤害，急性吸入，可出现乏力、头晕、头痛、恶心，严重者可引起油脂性肺炎。慢接触者，暴露部位可发生油性痤疮和接触性皮炎。可引起神经衰弱综合征，呼吸道和眼睛刺激症状及慢性油脂性肺炎。有资料报道，接触石油润滑油类的工人，有致癌的病例报告。</w:t>
                  </w:r>
                </w:p>
              </w:tc>
            </w:tr>
          </w:tbl>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②环境风险类型及危害分析</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通过对风险识别并结合本工程实际情况，本项目环境风险主要为运行期环境风险，主要包括：火灾风险、升压变电站事故漏油等。</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③风险识别结果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a火灾风险</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风机基础内、开关站厂区内各种电气设备，在外部火源移近、过负荷、短路、过电压、绝缘层严重过热、老化、损坏等情况下，均可能引发电气火灾。</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b变压器事故漏油</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开关站变压器发生故障时，可能造成变压器油泄露。</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（4）环境风险分析</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①大气环境危害后果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基础内、开关站厂区内各种电气设备，在外部火源移近、过负荷、短路、过电压、绝缘层严重过热、老化、损坏等情况下，均可能引发电气火灾。燃烧时有发光火焰。未完全燃烧的危险物质在高温下会迅速挥发释放至大气环境，燃烧过程中产生的伴生/次生污染物也会释放至大气环境，在短时间内对周围大气环境造成不利影响。</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2 \* GB3 \* MERGEFORMAT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②</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地下水危害后果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本项目升压变电站发生故障时，变压器油泄漏，有毒有害物质进入水体，对地下水环境造成不利影响。</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3 \* GB3 \* MERGEFORMAT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③</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土壤危害后果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本项目变压器发生故障时，变压器油泄露，有毒有害物质进入土壤，对土壤环境造成不利影响。</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fldChar w:fldCharType="begin"/>
            </w:r>
            <w:r>
              <w:rPr>
                <w:rFonts w:hint="default" w:ascii="Times New Roman" w:hAnsi="Times New Roman" w:eastAsia="宋体" w:cs="Times New Roman"/>
                <w:b/>
                <w:bCs/>
                <w:sz w:val="21"/>
                <w:szCs w:val="21"/>
              </w:rPr>
              <w:instrText xml:space="preserve"> = 4 \* GB3 \* MERGEFORMAT </w:instrText>
            </w:r>
            <w:r>
              <w:rPr>
                <w:rFonts w:hint="default" w:ascii="Times New Roman" w:hAnsi="Times New Roman" w:eastAsia="宋体" w:cs="Times New Roman"/>
                <w:b/>
                <w:bCs/>
                <w:sz w:val="21"/>
                <w:szCs w:val="21"/>
              </w:rPr>
              <w:fldChar w:fldCharType="separate"/>
            </w:r>
            <w:r>
              <w:rPr>
                <w:rFonts w:hint="default" w:ascii="Times New Roman" w:hAnsi="Times New Roman" w:eastAsia="宋体" w:cs="Times New Roman"/>
                <w:b/>
                <w:bCs/>
                <w:sz w:val="21"/>
                <w:szCs w:val="21"/>
              </w:rPr>
              <w:t>④</w:t>
            </w:r>
            <w:r>
              <w:rPr>
                <w:rFonts w:hint="default" w:ascii="Times New Roman" w:hAnsi="Times New Roman" w:eastAsia="宋体" w:cs="Times New Roman"/>
                <w:b/>
                <w:bCs/>
                <w:sz w:val="21"/>
                <w:szCs w:val="21"/>
              </w:rPr>
              <w:fldChar w:fldCharType="end"/>
            </w:r>
            <w:r>
              <w:rPr>
                <w:rFonts w:hint="default" w:ascii="Times New Roman" w:hAnsi="Times New Roman" w:eastAsia="宋体" w:cs="Times New Roman"/>
                <w:b/>
                <w:bCs/>
                <w:sz w:val="21"/>
                <w:szCs w:val="21"/>
              </w:rPr>
              <w:t>生态环境危害后果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如果发生火灾，如火灾蔓延到周边，对周边植被和生态系统会造成严重损坏；变压器油泄露后有毒有害物质进入土壤与水体，将对周围植物生长造成不利影响。</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（5）环境风险防范措施</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为使环境风险减小到最低限度，必须加强劳动安全管理，制备完善、有效、长效的安全防范措施，尽可能降低项目环境风险事故发生的概率。</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①严禁野外生火、乱丢烟头等可能引发火灾的不良行为；在秋收季节火灾高风险时期严禁一切野外用火；对进入风机附近的人员进行必要的监管，对进入的人员及车辆进行细致的检查工作，防止各类火种入场。</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②加强对各种仪器设备的管理并定期检修，及时发现和消除火灾隐患。</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建立严格的环境管理制度，加强对工作人员和运行管理人员的防火意识和宣传教育，成立防火工作领导小组，进行定期和随机监督检查，发现隐患及时解决，并采取一定的奖惩制度机制，对引起火灾的责任者追究行政和法律责任。</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④经咨询设计单位、建设单位，单个风机变压器油重约为2t，体积约为2.25m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，各变压器下方拟设置1座容积为2.5m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的事故油池，能满足主变的排油需要。</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防止事故、检修时造成废油污染，开关站内设置有污油排蓄系统，主变压器四周设排油槽，集油坑、排油槽四壁及底面均采用防渗措施，防止废油渗漏产生污染。对事故油池采取全面防腐、防渗处理，防渗层为2mm厚高密度聚乙烯，或2mm厚的其它人工材料（防渗层渗透系数小于1×10-10cm/s）。变压器事故状态下需排油时，经主变下部的排油槽排至事故油池，废变压器油交由有资质的单位进行处理。</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⑤制定突发环境事件应急预案</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风险事故的应急措施根据本项目所储存物料的特性，对发生泄露事故的应急措施如下：</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①一旦发生物料泄露事故，应迅速撤离污染区人员至安全区，并对受污染区域进行隔离，周围设置警告标志，严格限制进入。</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②建立有效的厂区内外环保应急隔离系统。</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③项目应成立相应的负责人，运营过程中加强现场巡视，及时发现开关站运行是否正常。</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（6）结论与建议</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项目具有潜在的事故风险，要切实从建设、生产、贮存等各方面积极采取防护措施，做好与环境风险防控体系的衔接与分级响应措施。</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6、风机光影影响分析</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球绕太阳公转，太阳光入射方向和地面之间的夹角称为太阳高度角，只要太阳高度角小于90°，暴露在阳光下地面上的任何物体都会产生影响。风机组不停转动的叶片，在阳光入射方向下，投射到居民住宅的玻璃窗上，即可产生闪烁的光影，通常称为光影影响。</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光影影响与太阳高度角、太阳方位角和风机高度有关。日升日落，同一地点一天内太阳高度角是不断变化的，太阳高度角越小，风机的影子越长。一年中冬至日太阳高度角最小，影子最长。</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（1）项目所在地太阳高度角和方位角</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从地面某一观测点指向太阳的向量S与地平面的夹角定义为太阳高度角，S在平面上的投影线与南北方向线之间的夹角为太阳方位角，用y表示，并规定正北方为0°，向西为正值，向东为负值，其变化范围为±180°。由于冬至日太阳高度角最小，因此选择冬至日进行光影范围计算。</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冬至日逐时太阳高度角计算公式如下：</w:t>
            </w:r>
          </w:p>
          <w:p>
            <w:pPr>
              <w:spacing w:line="36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ho=arcsin（sinφ·sinσ+cosφ·cosσ·cosτ）</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式中：ho—太阳高度角，rad；</w:t>
            </w:r>
          </w:p>
          <w:p>
            <w:pPr>
              <w:spacing w:line="360" w:lineRule="auto"/>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φ—当地纬度，deg，纬度为：34.73；</w:t>
            </w:r>
          </w:p>
          <w:p>
            <w:pPr>
              <w:spacing w:line="360" w:lineRule="auto"/>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σ—太阳赤纬角，冬至日太阳赤纬角为-23.26°；</w:t>
            </w:r>
          </w:p>
          <w:p>
            <w:pPr>
              <w:spacing w:line="360" w:lineRule="auto"/>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τ—太阳时角，在正午时τ=0，每隔一小时增加15°，上午为正，下午为负；</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太阳方位角计算公示如下：</w:t>
            </w:r>
          </w:p>
          <w:p>
            <w:pPr>
              <w:spacing w:line="36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γ=arcsin（cosσ·sinτ /cosho）</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式中：γ—太阳方位角，rad；其他参数含义同前。</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（2）光影长度计算方法</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风机光影长度计算公式如下：</w:t>
            </w:r>
          </w:p>
          <w:p>
            <w:pPr>
              <w:spacing w:line="360" w:lineRule="auto"/>
              <w:ind w:firstLine="420"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L=D/tgh0</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其中：L——风机光影长度 m；</w:t>
            </w:r>
          </w:p>
          <w:p>
            <w:pPr>
              <w:spacing w:line="360" w:lineRule="auto"/>
              <w:ind w:firstLine="1050" w:firstLineChars="5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D——风机高度 m；</w:t>
            </w:r>
          </w:p>
          <w:p>
            <w:pPr>
              <w:spacing w:line="360" w:lineRule="auto"/>
              <w:ind w:firstLine="422" w:firstLineChars="2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（3）光影影响范围计算结果</w:t>
            </w:r>
          </w:p>
          <w:p>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光影影响时段选取9：00时至15：00时日照集中时段进行计算。本项目风机轮毂中心距地面95m，风机直径147m，则风叶旋转的最高高度为168.5m。本项目风电场范围介于风电场区域东经110°06'18.7685"E～110°12'21.5955"E，北纬34°55'20.8729"N～34°58'19.4096"N。取风电场内位于风电场中部的3号风机（东经：110.157241，北纬：35.001876）作为为代表风机进行光影影响的预测分析。计算得到代表风机冬至日9：00时至15：00时逐时太阳高度角、太阳方位角和投影长度，具体见表</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9</w:t>
            </w:r>
            <w:r>
              <w:rPr>
                <w:rFonts w:hint="default" w:ascii="Times New Roman" w:hAnsi="Times New Roman" w:eastAsia="宋体" w:cs="Times New Roman"/>
                <w:sz w:val="21"/>
                <w:szCs w:val="21"/>
              </w:rPr>
              <w:t>。</w:t>
            </w:r>
          </w:p>
          <w:p>
            <w:pPr>
              <w:ind w:firstLine="422" w:firstLineChars="20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4</w:t>
            </w:r>
            <w:r>
              <w:rPr>
                <w:rFonts w:hint="default" w:ascii="Times New Roman" w:hAnsi="Times New Roman" w:eastAsia="宋体" w:cs="Times New Roman"/>
                <w:b/>
                <w:bCs/>
                <w:sz w:val="21"/>
                <w:szCs w:val="21"/>
              </w:rPr>
              <w:t>-</w:t>
            </w:r>
            <w:r>
              <w:rPr>
                <w:rFonts w:hint="eastAsia" w:ascii="Times New Roman" w:hAnsi="Times New Roman" w:cs="Times New Roman"/>
                <w:b/>
                <w:bCs/>
                <w:sz w:val="21"/>
                <w:szCs w:val="21"/>
                <w:lang w:val="en-US" w:eastAsia="zh-CN"/>
              </w:rPr>
              <w:t>9</w:t>
            </w:r>
            <w:r>
              <w:rPr>
                <w:rFonts w:hint="default" w:ascii="Times New Roman" w:hAnsi="Times New Roman" w:eastAsia="宋体" w:cs="Times New Roman"/>
                <w:b/>
                <w:bCs/>
                <w:sz w:val="21"/>
                <w:szCs w:val="21"/>
              </w:rPr>
              <w:t xml:space="preserve">  本项目冬至日各时段风机光影长度</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1250"/>
              <w:gridCol w:w="1425"/>
              <w:gridCol w:w="1248"/>
              <w:gridCol w:w="142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冬至日时段</w:t>
                  </w:r>
                </w:p>
              </w:tc>
              <w:tc>
                <w:tcPr>
                  <w:tcW w:w="691" w:type="pct"/>
                  <w:vAlign w:val="center"/>
                </w:tcPr>
                <w:p>
                  <w:pPr>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10：</w:t>
                  </w:r>
                  <w:r>
                    <w:rPr>
                      <w:rFonts w:hint="eastAsia" w:ascii="Times New Roman" w:hAnsi="Times New Roman" w:eastAsia="宋体" w:cs="Times New Roman"/>
                      <w:b/>
                      <w:bCs/>
                      <w:sz w:val="21"/>
                      <w:szCs w:val="21"/>
                      <w:lang w:val="en-US" w:eastAsia="zh-CN"/>
                    </w:rPr>
                    <w:t>30</w:t>
                  </w:r>
                </w:p>
              </w:tc>
              <w:tc>
                <w:tcPr>
                  <w:tcW w:w="788"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11：00</w:t>
                  </w:r>
                </w:p>
              </w:tc>
              <w:tc>
                <w:tcPr>
                  <w:tcW w:w="690"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12：00</w:t>
                  </w:r>
                </w:p>
              </w:tc>
              <w:tc>
                <w:tcPr>
                  <w:tcW w:w="788"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13：00</w:t>
                  </w:r>
                </w:p>
              </w:tc>
              <w:tc>
                <w:tcPr>
                  <w:tcW w:w="837"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w:t>
                  </w:r>
                  <w:r>
                    <w:rPr>
                      <w:rFonts w:hint="eastAsia" w:ascii="Times New Roman" w:hAnsi="Times New Roman" w:eastAsia="宋体" w:cs="Times New Roman"/>
                      <w:b/>
                      <w:bCs/>
                      <w:sz w:val="21"/>
                      <w:szCs w:val="21"/>
                      <w:lang w:val="en-US" w:eastAsia="zh-CN"/>
                    </w:rPr>
                    <w:t>3</w:t>
                  </w:r>
                  <w:r>
                    <w:rPr>
                      <w:rFonts w:hint="default" w:ascii="Times New Roman" w:hAnsi="Times New Roman" w:eastAsia="宋体" w:cs="Times New Roman"/>
                      <w:b/>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太阳高度角</w:t>
                  </w:r>
                </w:p>
              </w:tc>
              <w:tc>
                <w:tcPr>
                  <w:tcW w:w="691"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27.84</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30.28</w:t>
                  </w:r>
                </w:p>
              </w:tc>
              <w:tc>
                <w:tcPr>
                  <w:tcW w:w="69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32.01</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30.258</w:t>
                  </w:r>
                </w:p>
              </w:tc>
              <w:tc>
                <w:tcPr>
                  <w:tcW w:w="837"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太阳时角</w:t>
                  </w:r>
                </w:p>
              </w:tc>
              <w:tc>
                <w:tcPr>
                  <w:tcW w:w="69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22.5</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69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837"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太阳方位角</w:t>
                  </w:r>
                </w:p>
              </w:tc>
              <w:tc>
                <w:tcPr>
                  <w:tcW w:w="69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23.22</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-15.98</w:t>
                  </w:r>
                </w:p>
              </w:tc>
              <w:tc>
                <w:tcPr>
                  <w:tcW w:w="69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15.98</w:t>
                  </w:r>
                </w:p>
              </w:tc>
              <w:tc>
                <w:tcPr>
                  <w:tcW w:w="837" w:type="pct"/>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地面投影方向</w:t>
                  </w:r>
                </w:p>
              </w:tc>
              <w:tc>
                <w:tcPr>
                  <w:tcW w:w="691"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北西北</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正北偏北</w:t>
                  </w:r>
                </w:p>
              </w:tc>
              <w:tc>
                <w:tcPr>
                  <w:tcW w:w="69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正北</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正北偏东</w:t>
                  </w:r>
                </w:p>
              </w:tc>
              <w:tc>
                <w:tcPr>
                  <w:tcW w:w="837"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风机光影长度</w:t>
                  </w:r>
                </w:p>
              </w:tc>
              <w:tc>
                <w:tcPr>
                  <w:tcW w:w="691"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22</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288</w:t>
                  </w:r>
                </w:p>
              </w:tc>
              <w:tc>
                <w:tcPr>
                  <w:tcW w:w="690"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270</w:t>
                  </w:r>
                </w:p>
              </w:tc>
              <w:tc>
                <w:tcPr>
                  <w:tcW w:w="788"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288</w:t>
                  </w:r>
                </w:p>
              </w:tc>
              <w:tc>
                <w:tcPr>
                  <w:tcW w:w="837" w:type="pc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22</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由预测结果可知，冬至日</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0~1</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0之间，光影长度由大变小，再由小变大，投影区域也逐渐从风机东西轴线以北的西北、北北西、正北偏西、正北、正北偏东、北北东、东北等7个大角度逐渐移动，其中最大光影长度出现在上午</w:t>
            </w:r>
            <w:r>
              <w:rPr>
                <w:rFonts w:hint="eastAsia" w:ascii="Times New Roman" w:hAnsi="Times New Roman" w:eastAsia="宋体" w:cs="Times New Roman"/>
                <w:sz w:val="21"/>
                <w:szCs w:val="21"/>
                <w:lang w:val="en-US" w:eastAsia="zh-CN"/>
              </w:rPr>
              <w:t>10</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0和下午</w:t>
            </w:r>
            <w:r>
              <w:rPr>
                <w:rFonts w:hint="eastAsia" w:ascii="Times New Roman" w:hAnsi="Times New Roman" w:eastAsia="宋体" w:cs="Times New Roman"/>
                <w:sz w:val="21"/>
                <w:szCs w:val="21"/>
                <w:lang w:val="en-US" w:eastAsia="zh-CN"/>
              </w:rPr>
              <w:t>13</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0，为</w:t>
            </w:r>
            <w:r>
              <w:rPr>
                <w:rFonts w:hint="eastAsia" w:ascii="Times New Roman" w:hAnsi="Times New Roman" w:eastAsia="宋体" w:cs="Times New Roman"/>
                <w:sz w:val="21"/>
                <w:szCs w:val="21"/>
                <w:lang w:val="en-US" w:eastAsia="zh-CN"/>
              </w:rPr>
              <w:t>322</w:t>
            </w:r>
            <w:r>
              <w:rPr>
                <w:rFonts w:hint="default" w:ascii="Times New Roman" w:hAnsi="Times New Roman" w:eastAsia="宋体" w:cs="Times New Roman"/>
                <w:sz w:val="21"/>
                <w:szCs w:val="21"/>
              </w:rPr>
              <w:t>m，影响方向为风机西北和东北方向。第二长度的光影出现在上午</w:t>
            </w:r>
            <w:r>
              <w:rPr>
                <w:rFonts w:hint="eastAsia" w:ascii="Times New Roman" w:hAnsi="Times New Roman" w:eastAsia="宋体" w:cs="Times New Roman"/>
                <w:sz w:val="21"/>
                <w:szCs w:val="21"/>
                <w:lang w:val="en-US" w:eastAsia="zh-CN"/>
              </w:rPr>
              <w:t>11</w:t>
            </w:r>
            <w:r>
              <w:rPr>
                <w:rFonts w:hint="default" w:ascii="Times New Roman" w:hAnsi="Times New Roman" w:eastAsia="宋体" w:cs="Times New Roman"/>
                <w:sz w:val="21"/>
                <w:szCs w:val="21"/>
              </w:rPr>
              <w:t>：00和1</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：00，光影长度</w:t>
            </w:r>
            <w:r>
              <w:rPr>
                <w:rFonts w:hint="eastAsia" w:ascii="Times New Roman" w:hAnsi="Times New Roman" w:eastAsia="宋体" w:cs="Times New Roman"/>
                <w:sz w:val="21"/>
                <w:szCs w:val="21"/>
                <w:lang w:val="en-US" w:eastAsia="zh-CN"/>
              </w:rPr>
              <w:t>288</w:t>
            </w:r>
            <w:r>
              <w:rPr>
                <w:rFonts w:hint="default" w:ascii="Times New Roman" w:hAnsi="Times New Roman" w:eastAsia="宋体" w:cs="Times New Roman"/>
                <w:sz w:val="21"/>
                <w:szCs w:val="21"/>
              </w:rPr>
              <w:t>m，影响方向为风机北北西和北北东方向。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lang w:val="en-US"/>
              </w:rPr>
            </w:pPr>
            <w:r>
              <w:rPr>
                <w:rFonts w:hint="default" w:ascii="Times New Roman" w:hAnsi="Times New Roman" w:eastAsia="宋体" w:cs="Times New Roman"/>
                <w:sz w:val="21"/>
                <w:szCs w:val="21"/>
                <w:highlight w:val="none"/>
              </w:rPr>
              <w:t>对照风电场范围内敏感点分布情况，距离7#风机最近距离321m的东寺子村位于风机北西北侧，在早上10</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30</w:t>
            </w:r>
            <w:r>
              <w:rPr>
                <w:rFonts w:hint="default" w:ascii="Times New Roman" w:hAnsi="Times New Roman" w:eastAsia="宋体" w:cs="Times New Roman"/>
                <w:sz w:val="21"/>
                <w:szCs w:val="21"/>
                <w:highlight w:val="none"/>
              </w:rPr>
              <w:t>左右光影对其</w:t>
            </w:r>
            <w:r>
              <w:rPr>
                <w:rFonts w:hint="eastAsia" w:ascii="Times New Roman" w:hAnsi="Times New Roman" w:eastAsia="宋体" w:cs="Times New Roman"/>
                <w:sz w:val="21"/>
                <w:szCs w:val="21"/>
                <w:highlight w:val="none"/>
                <w:lang w:val="en-US" w:eastAsia="zh-CN"/>
              </w:rPr>
              <w:t>存在轻微影响。其余风机附近322m范围内无敏感点。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highlight w:val="none"/>
              </w:rPr>
              <w:t>环评建议在</w:t>
            </w:r>
            <w:r>
              <w:rPr>
                <w:rFonts w:hint="eastAsia" w:ascii="Times New Roman" w:hAnsi="Times New Roman" w:eastAsia="宋体" w:cs="Times New Roman"/>
                <w:sz w:val="21"/>
                <w:szCs w:val="21"/>
                <w:highlight w:val="none"/>
                <w:lang w:val="en-US" w:eastAsia="zh-CN"/>
              </w:rPr>
              <w:t>设置光影防护距离为322m</w:t>
            </w:r>
            <w:r>
              <w:rPr>
                <w:rFonts w:hint="default" w:ascii="Times New Roman" w:hAnsi="Times New Roman" w:eastAsia="宋体" w:cs="Times New Roman"/>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sz w:val="21"/>
                <w:szCs w:val="21"/>
                <w:lang w:val="en-US" w:eastAsia="zh-CN"/>
              </w:rPr>
            </w:pPr>
            <w:r>
              <w:rPr>
                <w:rFonts w:hint="eastAsia" w:ascii="Times New Roman" w:hAnsi="Times New Roman" w:cs="Times New Roman"/>
                <w:b/>
                <w:bCs/>
                <w:sz w:val="21"/>
                <w:szCs w:val="21"/>
                <w:lang w:val="en-US" w:eastAsia="zh-CN"/>
              </w:rPr>
              <w:t>7、生态环境影响结论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建设占地不涉及自然保护区、风景名胜区和森林公园等生态敏感区域；根据《国顺新能源渭南市大荔县范家两宜分散式风电项目对鸟类影响评价报告》影响评价结论以及本次统计分析结果，确定本项目不在鸟类迁徙的主要通道和迁徙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项目占地使区域土地利用格局发生变化，造成植生物量损失，但是项目占地面积较小，对区域土地利用格局、自然植被的生态功能及多样性影响较小。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项目建设对陕西黄河湿地省级自然保护区候鸟迁徙的影响较小；项目建设对建设区域内活动的鹗、凤头蜂鹰、普通鵟、红隼、红脚隼5种猛禽产生一定影响，但这5种猛禽活动范围大、且周边具有相同类似的生境分布较广，通过采取风机塔套涂警戒色、建立鸟类救护站、加强鸟类观测和救护等措施，可进一步减轻对鸟类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879" w:type="dxa"/>
            <w:noWrap w:val="0"/>
            <w:vAlign w:val="center"/>
          </w:tcPr>
          <w:p>
            <w:pPr>
              <w:pStyle w:val="15"/>
              <w:adjustRightInd w:val="0"/>
              <w:snapToGrid w:val="0"/>
              <w:spacing w:before="0" w:beforeAutospacing="0" w:after="0" w:afterAutospacing="0"/>
              <w:jc w:val="both"/>
              <w:rPr>
                <w:rFonts w:cs="宋体"/>
                <w:bCs/>
                <w:kern w:val="2"/>
                <w:sz w:val="21"/>
                <w:szCs w:val="21"/>
              </w:rPr>
            </w:pPr>
            <w:r>
              <w:rPr>
                <w:rFonts w:hint="eastAsia" w:cs="宋体"/>
                <w:bCs/>
                <w:kern w:val="2"/>
                <w:sz w:val="21"/>
                <w:szCs w:val="21"/>
              </w:rPr>
              <w:t>选址选线环境合理性分析</w:t>
            </w:r>
          </w:p>
        </w:tc>
        <w:tc>
          <w:tcPr>
            <w:tcW w:w="836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本项目拟建设12台风力发电机组，各发电机组200m范围内无村庄，不在自然保护区、风景名胜区、水源地保护区、文物保护区、林地及国家限制的采矿区域，场址周围无军用设施，地下无文物，符合选址要求。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cs="Times New Roman"/>
                <w:color w:val="auto"/>
                <w:sz w:val="21"/>
                <w:szCs w:val="21"/>
                <w:lang w:val="en-US" w:eastAsia="zh-CN"/>
              </w:rPr>
            </w:pPr>
          </w:p>
        </w:tc>
      </w:tr>
    </w:tbl>
    <w:p>
      <w:pPr>
        <w:rPr>
          <w:rFonts w:hint="eastAsia"/>
          <w:sz w:val="21"/>
          <w:szCs w:val="21"/>
        </w:rPr>
        <w:sectPr>
          <w:pgSz w:w="11906" w:h="16838"/>
          <w:pgMar w:top="1440" w:right="1800" w:bottom="1440" w:left="1800" w:header="851" w:footer="992" w:gutter="0"/>
          <w:pgNumType w:fmt="decimal"/>
          <w:cols w:space="425" w:num="1"/>
          <w:docGrid w:type="lines" w:linePitch="312" w:charSpace="0"/>
        </w:sectPr>
      </w:pPr>
    </w:p>
    <w:p>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1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753" w:type="dxa"/>
            <w:noWrap w:val="0"/>
            <w:tcMar>
              <w:left w:w="28" w:type="dxa"/>
              <w:right w:w="28" w:type="dxa"/>
            </w:tcMar>
            <w:vAlign w:val="center"/>
          </w:tcPr>
          <w:p>
            <w:pPr>
              <w:adjustRightInd w:val="0"/>
              <w:snapToGrid w:val="0"/>
              <w:jc w:val="center"/>
              <w:rPr>
                <w:rFonts w:ascii="宋体" w:hAnsi="宋体"/>
                <w:bCs/>
                <w:sz w:val="21"/>
                <w:szCs w:val="21"/>
              </w:rPr>
            </w:pPr>
            <w:r>
              <w:rPr>
                <w:rFonts w:hint="eastAsia" w:ascii="宋体" w:hAnsi="宋体" w:cs="宋体"/>
                <w:bCs/>
                <w:spacing w:val="10"/>
                <w:sz w:val="21"/>
                <w:szCs w:val="21"/>
              </w:rPr>
              <w:t>施工期生态环境保护措施</w:t>
            </w:r>
          </w:p>
        </w:tc>
        <w:tc>
          <w:tcPr>
            <w:tcW w:w="8457" w:type="dxa"/>
            <w:noWrap w:val="0"/>
            <w:vAlign w:val="top"/>
          </w:tcPr>
          <w:p>
            <w:pPr>
              <w:keepNext w:val="0"/>
              <w:keepLines w:val="0"/>
              <w:pageBreakBefore w:val="0"/>
              <w:kinsoku/>
              <w:wordWrap/>
              <w:overflowPunct/>
              <w:topLinePunct w:val="0"/>
              <w:bidi w:val="0"/>
              <w:adjustRightInd w:val="0"/>
              <w:snapToGrid w:val="0"/>
              <w:spacing w:line="360" w:lineRule="auto"/>
              <w:ind w:right="0" w:firstLine="462" w:firstLineChars="200"/>
              <w:textAlignment w:val="auto"/>
              <w:rPr>
                <w:rFonts w:hint="eastAsia" w:ascii="宋体" w:hAnsi="宋体" w:cs="宋体"/>
                <w:b/>
                <w:bCs w:val="0"/>
                <w:spacing w:val="10"/>
                <w:sz w:val="21"/>
                <w:szCs w:val="21"/>
                <w:lang w:val="en-US" w:eastAsia="zh-CN"/>
              </w:rPr>
            </w:pPr>
            <w:r>
              <w:rPr>
                <w:rFonts w:hint="eastAsia" w:ascii="宋体" w:hAnsi="宋体" w:cs="宋体"/>
                <w:b/>
                <w:bCs w:val="0"/>
                <w:spacing w:val="10"/>
                <w:sz w:val="21"/>
                <w:szCs w:val="21"/>
                <w:lang w:val="en-US" w:eastAsia="zh-CN"/>
              </w:rPr>
              <w:t>1、植被恢复措施</w:t>
            </w:r>
          </w:p>
          <w:p>
            <w:pPr>
              <w:keepNext w:val="0"/>
              <w:keepLines w:val="0"/>
              <w:pageBreakBefore w:val="0"/>
              <w:kinsoku/>
              <w:wordWrap/>
              <w:overflowPunct/>
              <w:topLinePunct w:val="0"/>
              <w:bidi w:val="0"/>
              <w:spacing w:line="360" w:lineRule="auto"/>
              <w:ind w:right="0" w:firstLine="420" w:firstLineChars="200"/>
              <w:textAlignment w:val="auto"/>
              <w:rPr>
                <w:rFonts w:hint="eastAsia" w:ascii="Times New Roman" w:hAnsi="Times New Roman" w:eastAsia="宋体"/>
                <w:color w:val="000000" w:themeColor="text1"/>
                <w:sz w:val="21"/>
                <w:szCs w:val="21"/>
                <w14:textFill>
                  <w14:solidFill>
                    <w14:schemeClr w14:val="tx1"/>
                  </w14:solidFill>
                </w14:textFill>
              </w:rPr>
            </w:pPr>
            <w:r>
              <w:rPr>
                <w:sz w:val="21"/>
                <w:szCs w:val="21"/>
              </w:rPr>
              <w:t>施工结束后对临时性占地及时采取植树种草。根据评价区的环境特征，当地条件、气候等限制因素，占用耕地，恢复为耕地；占用草地，选择适宜本地生长的草本或灌木，以及适于生存的草种进行合理绿化；对于永久性占地，按照“占一补一”的原则，通过采取相邻或附近地方进行生态补偿。</w:t>
            </w:r>
          </w:p>
          <w:p>
            <w:pPr>
              <w:keepNext w:val="0"/>
              <w:keepLines w:val="0"/>
              <w:pageBreakBefore w:val="0"/>
              <w:widowControl/>
              <w:kinsoku/>
              <w:wordWrap/>
              <w:overflowPunct/>
              <w:topLinePunct w:val="0"/>
              <w:bidi w:val="0"/>
              <w:spacing w:line="360" w:lineRule="auto"/>
              <w:ind w:right="0" w:firstLine="420" w:firstLineChars="200"/>
              <w:jc w:val="left"/>
              <w:textAlignment w:val="auto"/>
              <w:rPr>
                <w:rFonts w:hint="default" w:ascii="Times New Roman" w:hAnsi="Times New Roman" w:eastAsia="宋体"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在施工过程中应遵守以下原则：</w:t>
            </w:r>
          </w:p>
          <w:p>
            <w:pPr>
              <w:keepNext w:val="0"/>
              <w:keepLines w:val="0"/>
              <w:pageBreakBefore w:val="0"/>
              <w:widowControl/>
              <w:kinsoku/>
              <w:wordWrap/>
              <w:overflowPunct/>
              <w:topLinePunct w:val="0"/>
              <w:bidi w:val="0"/>
              <w:spacing w:line="360" w:lineRule="auto"/>
              <w:ind w:right="0" w:firstLine="420" w:firstLineChars="20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⑴在排列风力发电机组和设计施工道路时，应尽量避开有树木、植被的地方，减少植被生态环境破坏；对无法避让的林木尽量采取异地种植，以减少对植被的砍伐、损坏。</w:t>
            </w:r>
          </w:p>
          <w:p>
            <w:pPr>
              <w:keepNext w:val="0"/>
              <w:keepLines w:val="0"/>
              <w:pageBreakBefore w:val="0"/>
              <w:widowControl/>
              <w:kinsoku/>
              <w:wordWrap/>
              <w:overflowPunct/>
              <w:topLinePunct w:val="0"/>
              <w:bidi w:val="0"/>
              <w:spacing w:line="360" w:lineRule="auto"/>
              <w:ind w:right="0" w:firstLine="420" w:firstLineChars="20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⑵在项目的设计过程中应精心安排规划用地，合理安排施工，尽可能保留占地内的现有植被，对于破坏的地段，在施工期或结束后，及时恢复，最大限度减小原生植被的破坏面积。</w:t>
            </w:r>
          </w:p>
          <w:p>
            <w:pPr>
              <w:keepNext w:val="0"/>
              <w:keepLines w:val="0"/>
              <w:pageBreakBefore w:val="0"/>
              <w:widowControl/>
              <w:kinsoku/>
              <w:wordWrap/>
              <w:overflowPunct/>
              <w:topLinePunct w:val="0"/>
              <w:bidi w:val="0"/>
              <w:spacing w:line="360" w:lineRule="auto"/>
              <w:ind w:right="0" w:firstLine="420" w:firstLineChars="20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⑶制定详细的植被恢复方案，在施工作业完成后，应种植适应当地自然条件的优势灌草植被，及时进行植被恢复。</w:t>
            </w:r>
          </w:p>
          <w:p>
            <w:pPr>
              <w:keepNext w:val="0"/>
              <w:keepLines w:val="0"/>
              <w:pageBreakBefore w:val="0"/>
              <w:widowControl/>
              <w:kinsoku/>
              <w:wordWrap/>
              <w:overflowPunct/>
              <w:topLinePunct w:val="0"/>
              <w:bidi w:val="0"/>
              <w:spacing w:line="360" w:lineRule="auto"/>
              <w:ind w:right="0" w:firstLine="420" w:firstLineChars="200"/>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⑷加强施工人员生态保护教育，施工过程中尽量减少植被破坏，各种施工活动应严格控制在施工区域内，并将临时占地面积控制在最低限度，以免造成植被不必要的破坏。</w:t>
            </w:r>
          </w:p>
          <w:p>
            <w:pPr>
              <w:keepNext w:val="0"/>
              <w:keepLines w:val="0"/>
              <w:pageBreakBefore w:val="0"/>
              <w:kinsoku/>
              <w:wordWrap/>
              <w:overflowPunct/>
              <w:topLinePunct w:val="0"/>
              <w:bidi w:val="0"/>
              <w:adjustRightInd w:val="0"/>
              <w:snapToGrid w:val="0"/>
              <w:spacing w:line="360" w:lineRule="auto"/>
              <w:ind w:right="0" w:firstLine="420" w:firstLineChars="200"/>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⑸在项目设计中除考虑选择适合当地适生速成树种外，在绿化布局上还应考虑多树种的交错分布，以增强生态系统的稳定性。绿化树种选择是应避免采用对当地植被和作物产生生态入侵危害的树种。</w:t>
            </w:r>
          </w:p>
          <w:p>
            <w:pPr>
              <w:keepNext w:val="0"/>
              <w:keepLines w:val="0"/>
              <w:pageBreakBefore w:val="0"/>
              <w:kinsoku/>
              <w:wordWrap/>
              <w:overflowPunct/>
              <w:topLinePunct w:val="0"/>
              <w:bidi w:val="0"/>
              <w:adjustRightInd w:val="0"/>
              <w:snapToGrid w:val="0"/>
              <w:spacing w:line="360" w:lineRule="auto"/>
              <w:ind w:right="0" w:firstLine="422" w:firstLineChars="200"/>
              <w:textAlignment w:val="auto"/>
              <w:rPr>
                <w:rFonts w:hint="default" w:ascii="Times New Roman" w:hAnsi="Times New Roman" w:eastAsia="宋体" w:cs="Times New Roman"/>
                <w:b/>
                <w:bCs/>
                <w:color w:val="000000"/>
                <w:kern w:val="0"/>
                <w:sz w:val="21"/>
                <w:szCs w:val="21"/>
                <w:lang w:val="en-US" w:eastAsia="zh-CN"/>
              </w:rPr>
            </w:pPr>
            <w:r>
              <w:rPr>
                <w:rFonts w:hint="eastAsia" w:ascii="Times New Roman" w:hAnsi="Times New Roman" w:cs="Times New Roman"/>
                <w:b/>
                <w:bCs/>
                <w:color w:val="000000"/>
                <w:kern w:val="0"/>
                <w:sz w:val="21"/>
                <w:szCs w:val="21"/>
                <w:lang w:val="en-US" w:eastAsia="zh-CN"/>
              </w:rPr>
              <w:t>2、动物保护措施</w:t>
            </w:r>
          </w:p>
          <w:p>
            <w:pPr>
              <w:pStyle w:val="2"/>
              <w:keepNext w:val="0"/>
              <w:keepLines w:val="0"/>
              <w:pageBreakBefore w:val="0"/>
              <w:kinsoku/>
              <w:wordWrap/>
              <w:overflowPunct/>
              <w:topLinePunct w:val="0"/>
              <w:bidi w:val="0"/>
              <w:spacing w:line="360" w:lineRule="auto"/>
              <w:ind w:right="0" w:firstLine="420" w:firstLineChars="200"/>
              <w:textAlignment w:val="auto"/>
              <w:rPr>
                <w:rFonts w:ascii="Times New Roman" w:cs="Times New Roman"/>
                <w:color w:val="auto"/>
                <w:sz w:val="21"/>
                <w:szCs w:val="21"/>
              </w:rPr>
            </w:pPr>
            <w:r>
              <w:rPr>
                <w:rFonts w:ascii="Times New Roman" w:cs="Times New Roman"/>
                <w:color w:val="auto"/>
                <w:sz w:val="21"/>
                <w:szCs w:val="21"/>
              </w:rPr>
              <w:t>（1）积极宣传野生动物保护法规，打击捕杀野生动物的行为</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bCs/>
                <w:sz w:val="21"/>
                <w:szCs w:val="21"/>
              </w:rPr>
              <w:t>提高施工人员保护意识，严禁捕猎野生动物。施工人员必须遵守《中华人民共和国野生动物保护法》，严禁在施工区及其周围捕猎野生动物，在施工时严禁对其进行猎捕。</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（2）调查工程施工时段和方式，减少对动物的影响</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野生鸟类和兽类大多是晨、昏（早晨、黄昏）或夜间外出觅食，正午是鸟类休息时间。为了减少工程施工噪声对野生动物的惊扰，应做好施工时间的计划。</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（3）防止动物生态环境污染</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从保护生态与环境的角度出发。建议本项目开发建设前，尽量做好施工规划前期工作；加强施工人员的各类卫生管理（如个人卫生、粪便和生活污水），避免生活污水的直接排放，减少水体污染。</w:t>
            </w:r>
          </w:p>
          <w:p>
            <w:pPr>
              <w:keepNext w:val="0"/>
              <w:keepLines w:val="0"/>
              <w:pageBreakBefore w:val="0"/>
              <w:kinsoku/>
              <w:wordWrap/>
              <w:overflowPunct/>
              <w:topLinePunct w:val="0"/>
              <w:bidi w:val="0"/>
              <w:adjustRightInd w:val="0"/>
              <w:snapToGrid w:val="0"/>
              <w:spacing w:line="360" w:lineRule="auto"/>
              <w:ind w:right="0" w:firstLine="422" w:firstLineChars="200"/>
              <w:textAlignment w:val="auto"/>
              <w:rPr>
                <w:rFonts w:hint="default" w:ascii="Times New Roman" w:hAnsi="Times New Roman" w:eastAsia="宋体" w:cs="Times New Roman"/>
                <w:b/>
                <w:bCs/>
                <w:color w:val="000000"/>
                <w:kern w:val="0"/>
                <w:sz w:val="21"/>
                <w:szCs w:val="21"/>
                <w:lang w:val="en-US" w:eastAsia="zh-CN"/>
              </w:rPr>
            </w:pPr>
            <w:r>
              <w:rPr>
                <w:rFonts w:hint="eastAsia" w:ascii="Times New Roman" w:hAnsi="Times New Roman" w:cs="Times New Roman"/>
                <w:b/>
                <w:bCs/>
                <w:color w:val="000000"/>
                <w:kern w:val="0"/>
                <w:sz w:val="21"/>
                <w:szCs w:val="21"/>
                <w:lang w:val="en-US" w:eastAsia="zh-CN"/>
              </w:rPr>
              <w:t>3、耕地保护措施</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1）建设单位在项目建设过程中应认真贯彻落实《中华人民共和国土地管理法》，按时、按数缴纳土地补偿费、安置补助费以及青苗补偿费。根据地方土地管理部门规定，需要缴纳耕地开垦费的应按有关规定办理，以保证耕地的数量不会减少。</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（2）施工单位要严格控制临时用地数量，施工场地要根据工程进度统筹考虑，尽可能设置在道路永久用地范围内或利用荒坡、废弃地解决，减少占用耕地面积。</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（3）在经过优良耕地路段，在工程可行的情况下应尽量收缩干扰边坡，以减少占用耕地，对于坡面工程应及时采取工程或植物措施加以防护以减少水土流失现象发生。</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（4）道路建设中废弃的旧路等要尽可能造地复垦，不能复垦的要尽量绿化，避免闲置浪费。</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（5）合理安排施工时间，保证不违农时和不留工程隐患，道路排水不直接排入农田水体，以免冲刷和污染农田。保护道路排水系统和农灌沟渠系统，避免施工对沿线农业灌溉系统的影响。</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（6）永久占地、临时占地禁止占用基本农田。</w:t>
            </w:r>
          </w:p>
          <w:p>
            <w:pPr>
              <w:keepNext w:val="0"/>
              <w:keepLines w:val="0"/>
              <w:pageBreakBefore w:val="0"/>
              <w:kinsoku/>
              <w:wordWrap/>
              <w:overflowPunct/>
              <w:topLinePunct w:val="0"/>
              <w:bidi w:val="0"/>
              <w:adjustRightInd w:val="0"/>
              <w:snapToGrid w:val="0"/>
              <w:spacing w:line="360" w:lineRule="auto"/>
              <w:ind w:right="0" w:firstLine="422" w:firstLineChars="200"/>
              <w:textAlignment w:val="auto"/>
              <w:rPr>
                <w:rFonts w:hint="eastAsia" w:ascii="Times New Roman" w:hAnsi="Times New Roman" w:eastAsia="宋体" w:cs="Times New Roman"/>
                <w:b/>
                <w:bCs/>
                <w:color w:val="000000"/>
                <w:kern w:val="0"/>
                <w:sz w:val="21"/>
                <w:szCs w:val="21"/>
                <w:lang w:val="en-US" w:eastAsia="zh-CN"/>
              </w:rPr>
            </w:pPr>
            <w:r>
              <w:rPr>
                <w:rFonts w:hint="eastAsia" w:ascii="Times New Roman" w:hAnsi="Times New Roman" w:cs="Times New Roman"/>
                <w:b/>
                <w:bCs/>
                <w:color w:val="000000"/>
                <w:kern w:val="0"/>
                <w:sz w:val="21"/>
                <w:szCs w:val="21"/>
                <w:lang w:val="en-US" w:eastAsia="zh-CN"/>
              </w:rPr>
              <w:t>4、陕西黄河湿地省级自然保护区及项目区域鸟类保护措施</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（1）减缓噪声影响措施</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①选用低噪、环保的施工工艺和机械设备。振动较大的固定机械设备应加装减振机座，同时应加强各类施工设备的维护和保养，保持其良好的运转，以便从根本上降低噪声源强。</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sz w:val="21"/>
                <w:szCs w:val="21"/>
              </w:rPr>
              <w:t>②合理安排各类机械的施工时间，减少高噪声设备同时施工的情况。噪声源</w:t>
            </w:r>
            <w:r>
              <w:rPr>
                <w:rFonts w:hint="eastAsia"/>
                <w:sz w:val="21"/>
                <w:szCs w:val="21"/>
              </w:rPr>
              <w:t>大的施工过程需错开鸟类休息</w:t>
            </w:r>
            <w:r>
              <w:rPr>
                <w:rFonts w:hint="eastAsia"/>
                <w:color w:val="000000" w:themeColor="text1"/>
                <w:sz w:val="21"/>
                <w:szCs w:val="21"/>
                <w14:textFill>
                  <w14:solidFill>
                    <w14:schemeClr w14:val="tx1"/>
                  </w14:solidFill>
                </w14:textFill>
              </w:rPr>
              <w:t>时间</w:t>
            </w:r>
            <w:r>
              <w:rPr>
                <w:color w:val="000000" w:themeColor="text1"/>
                <w:sz w:val="21"/>
                <w:szCs w:val="21"/>
                <w14:textFill>
                  <w14:solidFill>
                    <w14:schemeClr w14:val="tx1"/>
                  </w14:solidFill>
                </w14:textFill>
              </w:rPr>
              <w:t>，禁止夜间</w:t>
            </w:r>
            <w:r>
              <w:rPr>
                <w:rFonts w:hint="eastAsia"/>
                <w:color w:val="000000" w:themeColor="text1"/>
                <w:sz w:val="21"/>
                <w:szCs w:val="21"/>
                <w14:textFill>
                  <w14:solidFill>
                    <w14:schemeClr w14:val="tx1"/>
                  </w14:solidFill>
                </w14:textFill>
              </w:rPr>
              <w:t>施工，如需进行夜间施工需征得主管部门的许可</w:t>
            </w:r>
            <w:r>
              <w:rPr>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（2）防治污染措施</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施工期应主要防治空气污染、水污染和固体废物污染。</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①施工现场必须封闭围挡，以减少施工扬尘的扩散范围，减轻扬尘对周围环境空气的污染；集中堆放的土方和闲置场地必须覆盖、固化或绿化，严禁裸露。</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②施工区域要有专人清扫，洒水，各种加工场地及材料堆场划分责任区定期清扫。</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③大风或重度污染天气时，必须采取扬尘应急措施，严禁</w:t>
            </w:r>
            <w:r>
              <w:rPr>
                <w:rFonts w:hint="eastAsia"/>
                <w:color w:val="000000" w:themeColor="text1"/>
                <w:sz w:val="21"/>
                <w:szCs w:val="21"/>
                <w14:textFill>
                  <w14:solidFill>
                    <w14:schemeClr w14:val="tx1"/>
                  </w14:solidFill>
                </w14:textFill>
              </w:rPr>
              <w:t>产生较大扬尘的施工活动</w:t>
            </w:r>
            <w:r>
              <w:rPr>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④施工现场禁止焚烧垃圾废料等。</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⑤施工场地设置沉淀池，施工废水经沉淀后回用。</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⑥在施工场地内设置环保厕所，生活洗漱及</w:t>
            </w:r>
            <w:r>
              <w:rPr>
                <w:rFonts w:hint="eastAsia"/>
                <w:sz w:val="21"/>
                <w:szCs w:val="21"/>
              </w:rPr>
              <w:t>等</w:t>
            </w:r>
            <w:r>
              <w:rPr>
                <w:sz w:val="21"/>
                <w:szCs w:val="21"/>
              </w:rPr>
              <w:t>采取集中收集的方式，经沉淀后用于场区的降尘等。</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（3）减少人工干扰措施</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①</w:t>
            </w:r>
            <w:r>
              <w:rPr>
                <w:rFonts w:hint="eastAsia"/>
                <w:sz w:val="21"/>
                <w:szCs w:val="21"/>
              </w:rPr>
              <w:t>对于施工过程中发现的鸟卵（蛋）或幼鸟，交给当地林业部门的专业人员处理，不得擅自处理。</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②严格限制施工人员的活动范围，未经同意，严禁私自进入保护区。</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③在施工区域和保护区周边，设立警示牌，在施工区、管理生活服务区、村庄周围、主要道路两旁、路口和沟口设立宣传碑。</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④禁止施工爆破、长时间鸣笛等惊扰鸟类的行为。</w:t>
            </w:r>
          </w:p>
          <w:p>
            <w:pPr>
              <w:keepNext w:val="0"/>
              <w:keepLines w:val="0"/>
              <w:pageBreakBefore w:val="0"/>
              <w:kinsoku/>
              <w:wordWrap/>
              <w:overflowPunct/>
              <w:topLinePunct w:val="0"/>
              <w:autoSpaceDE w:val="0"/>
              <w:autoSpaceDN w:val="0"/>
              <w:bidi w:val="0"/>
              <w:adjustRightInd w:val="0"/>
              <w:spacing w:line="360" w:lineRule="auto"/>
              <w:ind w:right="0" w:firstLine="420" w:firstLineChars="200"/>
              <w:textAlignment w:val="auto"/>
              <w:rPr>
                <w:sz w:val="21"/>
                <w:szCs w:val="21"/>
              </w:rPr>
            </w:pPr>
            <w:r>
              <w:rPr>
                <w:sz w:val="21"/>
                <w:szCs w:val="21"/>
              </w:rPr>
              <w:t>⑤</w:t>
            </w:r>
            <w:r>
              <w:rPr>
                <w:rFonts w:hint="eastAsia"/>
                <w:sz w:val="21"/>
                <w:szCs w:val="21"/>
              </w:rPr>
              <w:t>通过宣传教育，提高施工人员的保护意识，</w:t>
            </w:r>
            <w:r>
              <w:rPr>
                <w:sz w:val="21"/>
                <w:szCs w:val="21"/>
              </w:rPr>
              <w:t>严禁施工人员猎杀、捕食鸟类等野生动物</w:t>
            </w:r>
            <w:r>
              <w:rPr>
                <w:rFonts w:hint="eastAsia"/>
                <w:sz w:val="21"/>
                <w:szCs w:val="21"/>
              </w:rPr>
              <w:t>；禁止借助灯光捕捉</w:t>
            </w:r>
            <w:r>
              <w:rPr>
                <w:sz w:val="21"/>
                <w:szCs w:val="21"/>
              </w:rPr>
              <w:t>。</w:t>
            </w:r>
          </w:p>
          <w:p>
            <w:pPr>
              <w:keepNext w:val="0"/>
              <w:keepLines w:val="0"/>
              <w:pageBreakBefore w:val="0"/>
              <w:kinsoku/>
              <w:wordWrap/>
              <w:overflowPunct/>
              <w:topLinePunct w:val="0"/>
              <w:bidi w:val="0"/>
              <w:adjustRightInd w:val="0"/>
              <w:snapToGrid w:val="0"/>
              <w:spacing w:line="360" w:lineRule="auto"/>
              <w:ind w:right="0" w:firstLine="420" w:firstLineChars="200"/>
              <w:textAlignment w:val="auto"/>
              <w:rPr>
                <w:rFonts w:hint="default" w:ascii="宋体" w:hAnsi="宋体" w:eastAsia="宋体" w:cs="宋体"/>
                <w:bCs/>
                <w:spacing w:val="10"/>
                <w:sz w:val="21"/>
                <w:szCs w:val="21"/>
                <w:lang w:val="en-US" w:eastAsia="zh-CN"/>
              </w:rPr>
            </w:pPr>
            <w:r>
              <w:rPr>
                <w:sz w:val="21"/>
                <w:szCs w:val="21"/>
              </w:rPr>
              <w:t>⑥</w:t>
            </w:r>
            <w:r>
              <w:rPr>
                <w:rFonts w:hint="eastAsia"/>
                <w:sz w:val="21"/>
                <w:szCs w:val="21"/>
              </w:rPr>
              <w:t>在鸟类迁徙强度大的季节，严格控制光源使用量或者进行遮蔽，减少对外界的漏光量，在有雾、雨或强逆风的夜晚，停止施工。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adjustRightInd w:val="0"/>
              <w:snapToGrid w:val="0"/>
              <w:jc w:val="center"/>
              <w:rPr>
                <w:rFonts w:ascii="宋体" w:hAnsi="宋体" w:cs="宋体"/>
                <w:bCs/>
                <w:spacing w:val="10"/>
                <w:sz w:val="21"/>
                <w:szCs w:val="21"/>
              </w:rPr>
            </w:pPr>
            <w:r>
              <w:rPr>
                <w:rFonts w:hint="eastAsia" w:ascii="宋体" w:hAnsi="宋体" w:cs="宋体"/>
                <w:bCs/>
                <w:spacing w:val="10"/>
                <w:sz w:val="21"/>
                <w:szCs w:val="21"/>
              </w:rPr>
              <w:t>运营期生态环境保护措施</w:t>
            </w:r>
          </w:p>
        </w:tc>
        <w:tc>
          <w:tcPr>
            <w:tcW w:w="8457" w:type="dxa"/>
            <w:noWrap w:val="0"/>
            <w:vAlign w:val="top"/>
          </w:tcPr>
          <w:p>
            <w:pPr>
              <w:keepNext w:val="0"/>
              <w:keepLines w:val="0"/>
              <w:pageBreakBefore w:val="0"/>
              <w:widowControl w:val="0"/>
              <w:numPr>
                <w:ilvl w:val="0"/>
                <w:numId w:val="4"/>
              </w:numPr>
              <w:kinsoku/>
              <w:wordWrap/>
              <w:overflowPunct/>
              <w:topLinePunct w:val="0"/>
              <w:bidi w:val="0"/>
              <w:adjustRightInd w:val="0"/>
              <w:snapToGrid w:val="0"/>
              <w:spacing w:line="360" w:lineRule="auto"/>
              <w:ind w:firstLine="462" w:firstLineChars="200"/>
              <w:textAlignment w:val="auto"/>
              <w:rPr>
                <w:rFonts w:hint="eastAsia" w:ascii="宋体" w:hAnsi="宋体" w:cs="宋体"/>
                <w:b/>
                <w:bCs w:val="0"/>
                <w:spacing w:val="10"/>
                <w:sz w:val="21"/>
                <w:szCs w:val="21"/>
                <w:lang w:val="en-US" w:eastAsia="zh-CN"/>
              </w:rPr>
            </w:pPr>
            <w:r>
              <w:rPr>
                <w:rFonts w:hint="eastAsia" w:ascii="宋体" w:hAnsi="宋体" w:cs="宋体"/>
                <w:b/>
                <w:bCs w:val="0"/>
                <w:spacing w:val="10"/>
                <w:sz w:val="21"/>
                <w:szCs w:val="21"/>
                <w:lang w:val="en-US" w:eastAsia="zh-CN"/>
              </w:rPr>
              <w:t>植被保护措施</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①风电机组施工临时占地恢复</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对平整后的临时占地进行全面整地，犁地、剔出石块、施农家肥，基础与周围地面形成的渣体边坡采取植物护坡，撒播长芒草和紫花苜蓿；在临时占地内原用地类型为耕地的，恢复为耕地交于当地农民，其余临时占地按照株距2m、行距3m、整0.4m×0.4m的植树穴，栽植柠条，每个植树穴栽植3株树苗。</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②塔基地面植被恢复</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对塔基地面进行全面整地，撒播冰草和紫花苜蓿</w:t>
            </w:r>
            <w:r>
              <w:rPr>
                <w:rFonts w:hint="eastAsia"/>
                <w:sz w:val="21"/>
                <w:szCs w:val="21"/>
              </w:rPr>
              <w:t>等</w:t>
            </w:r>
            <w:r>
              <w:rPr>
                <w:sz w:val="21"/>
                <w:szCs w:val="21"/>
              </w:rPr>
              <w:t>。</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③道路两侧植被恢复</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场内道路两侧主要占地类型为耕地的，对该部分占地全面整地恢复为耕地后移交给当地农民耕作。对占地类型为草地的土地进行整地后，撒播长芒草和紫花苜蓿，并在检修道路两侧空地内按照株距3m、行距2m、整0.4m×0.4m 的植树穴，栽植柠条苗，每个植树穴栽植3株树苗。</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④升压站植被恢复</w:t>
            </w:r>
          </w:p>
          <w:p>
            <w:pPr>
              <w:keepNext w:val="0"/>
              <w:keepLines w:val="0"/>
              <w:pageBreakBefore w:val="0"/>
              <w:widowControl w:val="0"/>
              <w:kinsoku/>
              <w:wordWrap/>
              <w:overflowPunct/>
              <w:topLinePunct w:val="0"/>
              <w:bidi w:val="0"/>
              <w:spacing w:line="360" w:lineRule="auto"/>
              <w:ind w:firstLine="420" w:firstLineChars="200"/>
              <w:textAlignment w:val="auto"/>
              <w:rPr>
                <w:sz w:val="21"/>
                <w:szCs w:val="21"/>
              </w:rPr>
            </w:pPr>
            <w:r>
              <w:rPr>
                <w:sz w:val="21"/>
                <w:szCs w:val="21"/>
              </w:rPr>
              <w:t>升压站内空地进行美化和道路边栽植行道树。在项目运行期间，要坚持利用与管护相结合的原则，经常检查，保证环保措施发挥应有效应。</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bCs/>
                <w:sz w:val="21"/>
                <w:szCs w:val="21"/>
              </w:rPr>
              <w:t>（1）完善施工期未实施到位的植被保护措施及水土保持的工程措施，确保项目建设区内（除永久占地）植被覆盖率和成活率。</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bCs/>
                <w:sz w:val="21"/>
                <w:szCs w:val="21"/>
              </w:rPr>
              <w:t>（2）项目运行期可能存在主体工程（风电机组等）的维修，在维修过程中，存在周边植被被占压破坏等情况，因此，需对破坏后植被进行恢复，防止水土流失加剧。</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bCs/>
                <w:sz w:val="21"/>
                <w:szCs w:val="21"/>
              </w:rPr>
            </w:pPr>
            <w:r>
              <w:rPr>
                <w:bCs/>
                <w:sz w:val="21"/>
                <w:szCs w:val="21"/>
              </w:rPr>
              <w:t>（3）保证主体工程完成后生态恢复费用的落实和兑现。</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2" w:firstLineChars="200"/>
              <w:textAlignment w:val="auto"/>
              <w:rPr>
                <w:rFonts w:hint="default" w:eastAsia="宋体"/>
                <w:b/>
                <w:bCs w:val="0"/>
                <w:sz w:val="21"/>
                <w:szCs w:val="21"/>
                <w:lang w:val="en-US" w:eastAsia="zh-CN"/>
              </w:rPr>
            </w:pPr>
            <w:r>
              <w:rPr>
                <w:rFonts w:hint="eastAsia"/>
                <w:b/>
                <w:bCs w:val="0"/>
                <w:sz w:val="21"/>
                <w:szCs w:val="21"/>
                <w:lang w:val="en-US" w:eastAsia="zh-CN"/>
              </w:rPr>
              <w:t>2、动物资源保护措施</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bCs/>
                <w:sz w:val="21"/>
                <w:szCs w:val="21"/>
              </w:rPr>
              <w:t>（1）</w:t>
            </w:r>
            <w:r>
              <w:rPr>
                <w:rFonts w:hint="eastAsia"/>
                <w:bCs/>
                <w:sz w:val="21"/>
                <w:szCs w:val="21"/>
              </w:rPr>
              <w:t>风机塔架的护套上涂橙色与白色相间的警示色。</w:t>
            </w:r>
          </w:p>
          <w:p>
            <w:pPr>
              <w:pStyle w:val="25"/>
              <w:keepNext w:val="0"/>
              <w:keepLines w:val="0"/>
              <w:pageBreakBefore w:val="0"/>
              <w:widowControl w:val="0"/>
              <w:kinsoku/>
              <w:wordWrap/>
              <w:overflowPunct/>
              <w:topLinePunct w:val="0"/>
              <w:bidi w:val="0"/>
              <w:spacing w:line="360" w:lineRule="auto"/>
              <w:ind w:firstLine="420" w:firstLineChars="200"/>
              <w:textAlignment w:val="auto"/>
              <w:rPr>
                <w:rFonts w:ascii="Times New Roman" w:eastAsia="宋体" w:cs="Times New Roman"/>
                <w:bCs/>
                <w:color w:val="auto"/>
                <w:kern w:val="2"/>
                <w:sz w:val="21"/>
                <w:szCs w:val="21"/>
              </w:rPr>
            </w:pPr>
            <w:r>
              <w:rPr>
                <w:rFonts w:hint="eastAsia" w:ascii="Times New Roman" w:eastAsia="宋体" w:cs="Times New Roman"/>
                <w:bCs/>
                <w:color w:val="auto"/>
                <w:kern w:val="2"/>
                <w:sz w:val="21"/>
                <w:szCs w:val="21"/>
              </w:rPr>
              <w:t>（</w:t>
            </w:r>
            <w:r>
              <w:rPr>
                <w:rFonts w:ascii="Times New Roman" w:eastAsia="宋体" w:cs="Times New Roman"/>
                <w:bCs/>
                <w:color w:val="auto"/>
                <w:kern w:val="2"/>
                <w:sz w:val="21"/>
                <w:szCs w:val="21"/>
              </w:rPr>
              <w:t>2</w:t>
            </w:r>
            <w:r>
              <w:rPr>
                <w:rFonts w:hint="eastAsia" w:ascii="Times New Roman" w:eastAsia="宋体" w:cs="Times New Roman"/>
                <w:bCs/>
                <w:color w:val="auto"/>
                <w:kern w:val="2"/>
                <w:sz w:val="21"/>
                <w:szCs w:val="21"/>
              </w:rPr>
              <w:t>）风机集中维修保养应主要放在鸟类迁徙季节；9</w:t>
            </w:r>
            <w:r>
              <w:rPr>
                <w:rFonts w:ascii="Times New Roman" w:eastAsia="宋体" w:cs="Times New Roman"/>
                <w:bCs/>
                <w:color w:val="auto"/>
                <w:kern w:val="2"/>
                <w:sz w:val="21"/>
                <w:szCs w:val="21"/>
              </w:rPr>
              <w:t>月至翌年5</w:t>
            </w:r>
            <w:r>
              <w:rPr>
                <w:rFonts w:hint="eastAsia" w:ascii="Times New Roman" w:eastAsia="宋体" w:cs="Times New Roman"/>
                <w:bCs/>
                <w:color w:val="auto"/>
                <w:kern w:val="2"/>
                <w:sz w:val="21"/>
                <w:szCs w:val="21"/>
              </w:rPr>
              <w:t>月鸟类集中迁徙季节采取局部风机停运等运行调整措施。</w:t>
            </w:r>
          </w:p>
          <w:p>
            <w:pPr>
              <w:pStyle w:val="25"/>
              <w:keepNext w:val="0"/>
              <w:keepLines w:val="0"/>
              <w:pageBreakBefore w:val="0"/>
              <w:widowControl w:val="0"/>
              <w:kinsoku/>
              <w:wordWrap/>
              <w:overflowPunct/>
              <w:topLinePunct w:val="0"/>
              <w:bidi w:val="0"/>
              <w:spacing w:line="360" w:lineRule="auto"/>
              <w:ind w:firstLine="420" w:firstLineChars="200"/>
              <w:textAlignment w:val="auto"/>
              <w:rPr>
                <w:rFonts w:ascii="Times New Roman" w:eastAsia="宋体" w:cs="Times New Roman"/>
                <w:bCs/>
                <w:color w:val="auto"/>
                <w:kern w:val="2"/>
                <w:sz w:val="21"/>
                <w:szCs w:val="21"/>
              </w:rPr>
            </w:pPr>
            <w:r>
              <w:rPr>
                <w:rFonts w:hint="eastAsia" w:ascii="Times New Roman" w:eastAsia="宋体" w:cs="Times New Roman"/>
                <w:bCs/>
                <w:color w:val="auto"/>
                <w:kern w:val="2"/>
                <w:sz w:val="21"/>
                <w:szCs w:val="21"/>
              </w:rPr>
              <w:t>（</w:t>
            </w:r>
            <w:r>
              <w:rPr>
                <w:rFonts w:ascii="Times New Roman" w:eastAsia="宋体" w:cs="Times New Roman"/>
                <w:bCs/>
                <w:color w:val="auto"/>
                <w:kern w:val="2"/>
                <w:sz w:val="21"/>
                <w:szCs w:val="21"/>
              </w:rPr>
              <w:t>3</w:t>
            </w:r>
            <w:r>
              <w:rPr>
                <w:rFonts w:hint="eastAsia" w:ascii="Times New Roman" w:eastAsia="宋体" w:cs="Times New Roman"/>
                <w:bCs/>
                <w:color w:val="auto"/>
                <w:kern w:val="2"/>
                <w:sz w:val="21"/>
                <w:szCs w:val="21"/>
              </w:rPr>
              <w:t>）在9</w:t>
            </w:r>
            <w:r>
              <w:rPr>
                <w:rFonts w:ascii="Times New Roman" w:eastAsia="宋体" w:cs="Times New Roman"/>
                <w:bCs/>
                <w:color w:val="auto"/>
                <w:kern w:val="2"/>
                <w:sz w:val="21"/>
                <w:szCs w:val="21"/>
              </w:rPr>
              <w:t>月至翌年5</w:t>
            </w:r>
            <w:r>
              <w:rPr>
                <w:rFonts w:hint="eastAsia" w:ascii="Times New Roman" w:eastAsia="宋体" w:cs="Times New Roman"/>
                <w:bCs/>
                <w:color w:val="auto"/>
                <w:kern w:val="2"/>
                <w:sz w:val="21"/>
                <w:szCs w:val="21"/>
              </w:rPr>
              <w:t>月鸟类集中迁徙季节，应形成预案，发生鸟撞及时采取措施，或停机，防止事故发生。</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rFonts w:hint="eastAsia"/>
                <w:bCs/>
                <w:sz w:val="21"/>
                <w:szCs w:val="21"/>
              </w:rPr>
              <w:t>（</w:t>
            </w:r>
            <w:r>
              <w:rPr>
                <w:bCs/>
                <w:sz w:val="21"/>
                <w:szCs w:val="21"/>
              </w:rPr>
              <w:t>4</w:t>
            </w:r>
            <w:r>
              <w:rPr>
                <w:rFonts w:hint="eastAsia"/>
                <w:bCs/>
                <w:sz w:val="21"/>
                <w:szCs w:val="21"/>
              </w:rPr>
              <w:t>）在鸟类迁徙强度大的季节（</w:t>
            </w:r>
            <w:r>
              <w:rPr>
                <w:bCs/>
                <w:sz w:val="21"/>
                <w:szCs w:val="21"/>
              </w:rPr>
              <w:t>9</w:t>
            </w:r>
            <w:r>
              <w:rPr>
                <w:rFonts w:hint="eastAsia"/>
                <w:bCs/>
                <w:sz w:val="21"/>
                <w:szCs w:val="21"/>
              </w:rPr>
              <w:t>月至</w:t>
            </w:r>
            <w:r>
              <w:rPr>
                <w:bCs/>
                <w:sz w:val="21"/>
                <w:szCs w:val="21"/>
              </w:rPr>
              <w:t>翌年5</w:t>
            </w:r>
            <w:r>
              <w:rPr>
                <w:rFonts w:hint="eastAsia"/>
                <w:bCs/>
                <w:sz w:val="21"/>
                <w:szCs w:val="21"/>
              </w:rPr>
              <w:t>月），尤其在有雾、雨或强逆风的夜晚严格控制风电场区域光源使用量或者进行遮蔽，减少对外界的漏光量。</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rFonts w:hint="eastAsia"/>
                <w:bCs/>
                <w:sz w:val="21"/>
                <w:szCs w:val="21"/>
              </w:rPr>
              <w:t>（</w:t>
            </w:r>
            <w:r>
              <w:rPr>
                <w:bCs/>
                <w:sz w:val="21"/>
                <w:szCs w:val="21"/>
              </w:rPr>
              <w:t>5</w:t>
            </w:r>
            <w:r>
              <w:rPr>
                <w:rFonts w:hint="eastAsia"/>
                <w:bCs/>
                <w:sz w:val="21"/>
                <w:szCs w:val="21"/>
              </w:rPr>
              <w:t>）风电场内设立鸟救护站点，配备基本救护材料和药品，如若发现受伤鸟类经简单处理后及时送当地野生动物保护站进行救护。</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bCs/>
                <w:sz w:val="21"/>
                <w:szCs w:val="21"/>
              </w:rPr>
              <w:t>（6）防火、禁猎，保护风电场周边林地、灌丛、草丛等植被，保护动物的生存环境。</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rFonts w:hint="eastAsia"/>
                <w:bCs/>
                <w:sz w:val="21"/>
                <w:szCs w:val="21"/>
              </w:rPr>
              <w:t>（</w:t>
            </w:r>
            <w:r>
              <w:rPr>
                <w:bCs/>
                <w:sz w:val="21"/>
                <w:szCs w:val="21"/>
              </w:rPr>
              <w:t>7</w:t>
            </w:r>
            <w:r>
              <w:rPr>
                <w:rFonts w:hint="eastAsia"/>
                <w:bCs/>
                <w:sz w:val="21"/>
                <w:szCs w:val="21"/>
              </w:rPr>
              <w:t>）开展生态监测，监测评估运营期项目对鸟类的干扰及变化情况。运营期连续监测3年（</w:t>
            </w:r>
            <w:r>
              <w:rPr>
                <w:bCs/>
                <w:sz w:val="21"/>
                <w:szCs w:val="21"/>
              </w:rPr>
              <w:t>每年</w:t>
            </w:r>
            <w:r>
              <w:rPr>
                <w:rFonts w:hint="eastAsia"/>
                <w:bCs/>
                <w:sz w:val="21"/>
                <w:szCs w:val="21"/>
              </w:rPr>
              <w:t>3</w:t>
            </w:r>
            <w:r>
              <w:rPr>
                <w:bCs/>
                <w:sz w:val="21"/>
                <w:szCs w:val="21"/>
              </w:rPr>
              <w:t>次，分别安排在鸟类迁徙期、越冬期和繁殖期</w:t>
            </w:r>
            <w:r>
              <w:rPr>
                <w:rFonts w:hint="eastAsia"/>
                <w:bCs/>
                <w:sz w:val="21"/>
                <w:szCs w:val="21"/>
              </w:rPr>
              <w:t>），在</w:t>
            </w:r>
            <w:r>
              <w:rPr>
                <w:bCs/>
                <w:sz w:val="21"/>
                <w:szCs w:val="21"/>
              </w:rPr>
              <w:t>评价区域</w:t>
            </w:r>
            <w:r>
              <w:rPr>
                <w:rFonts w:hint="eastAsia"/>
                <w:bCs/>
                <w:sz w:val="21"/>
                <w:szCs w:val="21"/>
              </w:rPr>
              <w:t>设置</w:t>
            </w:r>
            <w:r>
              <w:rPr>
                <w:rFonts w:hint="eastAsia"/>
                <w:bCs/>
                <w:sz w:val="21"/>
                <w:szCs w:val="21"/>
                <w:lang w:val="en-US" w:eastAsia="zh-CN"/>
              </w:rPr>
              <w:t>5</w:t>
            </w:r>
            <w:r>
              <w:rPr>
                <w:rFonts w:hint="eastAsia"/>
                <w:bCs/>
                <w:sz w:val="21"/>
                <w:szCs w:val="21"/>
              </w:rPr>
              <w:t>条固定监测样线，样线长度</w:t>
            </w:r>
            <w:r>
              <w:rPr>
                <w:rFonts w:hint="eastAsia"/>
                <w:bCs/>
                <w:sz w:val="21"/>
                <w:szCs w:val="21"/>
                <w:lang w:val="en-US" w:eastAsia="zh-CN"/>
              </w:rPr>
              <w:t>25</w:t>
            </w:r>
            <w:r>
              <w:rPr>
                <w:bCs/>
                <w:sz w:val="21"/>
                <w:szCs w:val="21"/>
              </w:rPr>
              <w:t>k</w:t>
            </w:r>
            <w:r>
              <w:rPr>
                <w:rFonts w:hint="eastAsia"/>
                <w:bCs/>
                <w:sz w:val="21"/>
                <w:szCs w:val="21"/>
              </w:rPr>
              <w:t>m；配备单、双筒望远镜（各</w:t>
            </w:r>
            <w:r>
              <w:rPr>
                <w:bCs/>
                <w:sz w:val="21"/>
                <w:szCs w:val="21"/>
              </w:rPr>
              <w:t>2</w:t>
            </w:r>
            <w:r>
              <w:rPr>
                <w:rFonts w:hint="eastAsia"/>
                <w:bCs/>
                <w:sz w:val="21"/>
                <w:szCs w:val="21"/>
              </w:rPr>
              <w:t>套）、野外保护用品（</w:t>
            </w:r>
            <w:r>
              <w:rPr>
                <w:bCs/>
                <w:sz w:val="21"/>
                <w:szCs w:val="21"/>
              </w:rPr>
              <w:t>4</w:t>
            </w:r>
            <w:r>
              <w:rPr>
                <w:rFonts w:hint="eastAsia"/>
                <w:bCs/>
                <w:sz w:val="21"/>
                <w:szCs w:val="21"/>
              </w:rPr>
              <w:t>套）、资料（2套）等监测设备；设置宣传教育设施，主要包括宣传牌、警示牌建设和宣传材料，宣传牌、警示牌应布设在保护区周边，共需设置警示牌5块。其中，01、02、09号风机设1块，04、05号风机设1块，03风机、</w:t>
            </w:r>
            <w:r>
              <w:rPr>
                <w:rFonts w:hint="eastAsia"/>
                <w:bCs/>
                <w:sz w:val="21"/>
                <w:szCs w:val="21"/>
                <w:lang w:val="en-US" w:eastAsia="zh-CN"/>
              </w:rPr>
              <w:t>开关站</w:t>
            </w:r>
            <w:r>
              <w:rPr>
                <w:rFonts w:hint="eastAsia"/>
                <w:bCs/>
                <w:sz w:val="21"/>
                <w:szCs w:val="21"/>
              </w:rPr>
              <w:t>设1块，06、12号风机设1块，07、08、10、11号风机设1块。监测内容包括</w:t>
            </w:r>
            <w:r>
              <w:rPr>
                <w:bCs/>
                <w:sz w:val="21"/>
                <w:szCs w:val="21"/>
              </w:rPr>
              <w:t>鸟类种类、数量或密度、分布、栖息地类型、集群迁徙时间与集群大小等以及昆虫和啮齿类动物的资源状况。</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rFonts w:hint="eastAsia"/>
                <w:bCs/>
                <w:sz w:val="21"/>
                <w:szCs w:val="21"/>
              </w:rPr>
              <w:t>（</w:t>
            </w:r>
            <w:r>
              <w:rPr>
                <w:bCs/>
                <w:sz w:val="21"/>
                <w:szCs w:val="21"/>
              </w:rPr>
              <w:t>8</w:t>
            </w:r>
            <w:r>
              <w:rPr>
                <w:rFonts w:hint="eastAsia"/>
                <w:bCs/>
                <w:sz w:val="21"/>
                <w:szCs w:val="21"/>
              </w:rPr>
              <w:t>）</w:t>
            </w:r>
            <w:r>
              <w:rPr>
                <w:bCs/>
                <w:sz w:val="21"/>
                <w:szCs w:val="21"/>
              </w:rPr>
              <w:t>与当地政府部门协调，对风电场周边一定范围的生态环境进行特别控制与管理，降低风电场及其周边景观的多样性和异质性。如农业种植采取单一作物（玉米或冬小麦），尽量避免果树种植，降低农田生态系统的生物多样性；一定范围内避免设立固体废弃物处理场以减少对鸟类的吸引。</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rFonts w:hint="eastAsia"/>
                <w:bCs/>
                <w:sz w:val="21"/>
                <w:szCs w:val="21"/>
              </w:rPr>
              <w:t>（</w:t>
            </w:r>
            <w:r>
              <w:rPr>
                <w:bCs/>
                <w:sz w:val="21"/>
                <w:szCs w:val="21"/>
              </w:rPr>
              <w:t>9</w:t>
            </w:r>
            <w:r>
              <w:rPr>
                <w:rFonts w:hint="eastAsia"/>
                <w:bCs/>
                <w:sz w:val="21"/>
                <w:szCs w:val="21"/>
              </w:rPr>
              <w:t>）</w:t>
            </w:r>
            <w:r>
              <w:rPr>
                <w:bCs/>
                <w:sz w:val="21"/>
                <w:szCs w:val="21"/>
              </w:rPr>
              <w:t>风电场区选择非浆果类乔木和灌木；通过定期刈割，必要时使用除草剂，避免较高的草本植物特别是蒿类茂盛生长，保持草坪草本高度低于10cm；定期做好防虫工作，避免过多的昆虫和鼠类招引食谷鸟类和猛禽类。</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bCs/>
                <w:sz w:val="21"/>
                <w:szCs w:val="21"/>
              </w:rPr>
            </w:pPr>
            <w:r>
              <w:rPr>
                <w:rFonts w:hint="eastAsia"/>
                <w:bCs/>
                <w:sz w:val="21"/>
                <w:szCs w:val="21"/>
              </w:rPr>
              <w:t>（1</w:t>
            </w:r>
            <w:r>
              <w:rPr>
                <w:bCs/>
                <w:sz w:val="21"/>
                <w:szCs w:val="21"/>
              </w:rPr>
              <w:t>0</w:t>
            </w:r>
            <w:r>
              <w:rPr>
                <w:rFonts w:hint="eastAsia"/>
                <w:bCs/>
                <w:sz w:val="21"/>
                <w:szCs w:val="21"/>
              </w:rPr>
              <w:t>）</w:t>
            </w:r>
            <w:r>
              <w:rPr>
                <w:bCs/>
                <w:sz w:val="21"/>
                <w:szCs w:val="21"/>
              </w:rPr>
              <w:t>在周边社区进行广泛的宣传和巡查工作，禁止在建设家禽、家畜养殖场。</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bCs/>
                <w:sz w:val="21"/>
                <w:szCs w:val="21"/>
              </w:rPr>
            </w:pPr>
            <w:r>
              <w:rPr>
                <w:rFonts w:hint="eastAsia"/>
                <w:bCs/>
                <w:sz w:val="21"/>
                <w:szCs w:val="21"/>
              </w:rPr>
              <w:t>（1</w:t>
            </w:r>
            <w:r>
              <w:rPr>
                <w:bCs/>
                <w:sz w:val="21"/>
                <w:szCs w:val="21"/>
              </w:rPr>
              <w:t>1</w:t>
            </w:r>
            <w:r>
              <w:rPr>
                <w:rFonts w:hint="eastAsia"/>
                <w:bCs/>
                <w:sz w:val="21"/>
                <w:szCs w:val="21"/>
              </w:rPr>
              <w:t>）</w:t>
            </w:r>
            <w:r>
              <w:rPr>
                <w:bCs/>
                <w:sz w:val="21"/>
                <w:szCs w:val="21"/>
              </w:rPr>
              <w:t>落实鸟情监测责任。</w:t>
            </w:r>
            <w:r>
              <w:rPr>
                <w:rFonts w:hint="eastAsia"/>
                <w:bCs/>
                <w:sz w:val="21"/>
                <w:szCs w:val="21"/>
              </w:rPr>
              <w:t>风电场</w:t>
            </w:r>
            <w:r>
              <w:rPr>
                <w:bCs/>
                <w:sz w:val="21"/>
                <w:szCs w:val="21"/>
              </w:rPr>
              <w:t>管理和运营方应和黄河湿地自然保护区管理处密切沟通，把风电场及周边区域</w:t>
            </w:r>
            <w:r>
              <w:rPr>
                <w:rFonts w:hint="eastAsia"/>
                <w:bCs/>
                <w:sz w:val="21"/>
                <w:szCs w:val="21"/>
              </w:rPr>
              <w:t>、</w:t>
            </w:r>
            <w:r>
              <w:rPr>
                <w:bCs/>
                <w:sz w:val="21"/>
                <w:szCs w:val="21"/>
              </w:rPr>
              <w:t>黄河湿地保护区的鸟情监测责任落到实处，建立协同的鸟情预警机制。</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2" w:firstLineChars="200"/>
              <w:textAlignment w:val="auto"/>
              <w:rPr>
                <w:rFonts w:hint="default" w:eastAsia="宋体"/>
                <w:b/>
                <w:bCs w:val="0"/>
                <w:sz w:val="21"/>
                <w:szCs w:val="21"/>
                <w:lang w:val="en-US" w:eastAsia="zh-CN"/>
              </w:rPr>
            </w:pPr>
            <w:r>
              <w:rPr>
                <w:rFonts w:hint="eastAsia"/>
                <w:b/>
                <w:bCs w:val="0"/>
                <w:sz w:val="21"/>
                <w:szCs w:val="21"/>
                <w:lang w:val="en-US" w:eastAsia="zh-CN"/>
              </w:rPr>
              <w:t>3、景观恢复措施</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Cs/>
                <w:spacing w:val="10"/>
                <w:sz w:val="21"/>
                <w:szCs w:val="21"/>
                <w:lang w:val="en-US" w:eastAsia="zh-CN"/>
              </w:rPr>
            </w:pPr>
            <w:r>
              <w:rPr>
                <w:sz w:val="21"/>
                <w:szCs w:val="21"/>
              </w:rPr>
              <w:t>项目区的景观需适应地区特征、自然环境，合理地确定绿化地点、设计方案、种植要求和苗木种类。在绿化过程中，建议建设单位在选择树种时要符合园林绿化的特点和要求，以乡土树种为主，速生树种、中生树种和慢生树种相结合，以保持区域生态环境的稳定性，防止外来物种对区域生态系统的影响</w:t>
            </w:r>
            <w:r>
              <w:rPr>
                <w:rFonts w:hint="eastAsia" w:ascii="宋体" w:hAnsi="宋体" w:cs="宋体"/>
                <w:bCs/>
                <w:spacing w:val="10"/>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noWrap w:val="0"/>
            <w:vAlign w:val="center"/>
          </w:tcPr>
          <w:p>
            <w:pPr>
              <w:adjustRightInd w:val="0"/>
              <w:snapToGrid w:val="0"/>
              <w:jc w:val="center"/>
              <w:rPr>
                <w:rFonts w:ascii="宋体" w:hAnsi="宋体" w:cs="宋体"/>
                <w:bCs/>
                <w:spacing w:val="10"/>
                <w:sz w:val="21"/>
                <w:szCs w:val="21"/>
              </w:rPr>
            </w:pPr>
            <w:r>
              <w:rPr>
                <w:rFonts w:hint="eastAsia" w:ascii="宋体" w:hAnsi="宋体"/>
                <w:bCs/>
                <w:sz w:val="21"/>
                <w:szCs w:val="21"/>
              </w:rPr>
              <w:t>其他</w:t>
            </w:r>
          </w:p>
        </w:tc>
        <w:tc>
          <w:tcPr>
            <w:tcW w:w="8457" w:type="dxa"/>
            <w:noWrap w:val="0"/>
            <w:vAlign w:val="center"/>
          </w:tcPr>
          <w:p>
            <w:pPr>
              <w:adjustRightInd w:val="0"/>
              <w:snapToGrid w:val="0"/>
              <w:jc w:val="center"/>
              <w:rPr>
                <w:rFonts w:hint="eastAsia" w:ascii="宋体" w:hAnsi="宋体" w:eastAsia="宋体" w:cs="宋体"/>
                <w:bCs/>
                <w:spacing w:val="10"/>
                <w:sz w:val="21"/>
                <w:szCs w:val="21"/>
                <w:lang w:val="en-US" w:eastAsia="zh-CN"/>
              </w:rPr>
            </w:pPr>
            <w:r>
              <w:rPr>
                <w:rFonts w:hint="eastAsia" w:ascii="宋体" w:hAnsi="宋体" w:cs="宋体"/>
                <w:bCs/>
                <w:spacing w:val="1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noWrap w:val="0"/>
            <w:vAlign w:val="center"/>
          </w:tcPr>
          <w:p>
            <w:pPr>
              <w:adjustRightInd w:val="0"/>
              <w:snapToGrid w:val="0"/>
              <w:jc w:val="center"/>
              <w:rPr>
                <w:rFonts w:ascii="宋体" w:hAnsi="宋体" w:cs="宋体"/>
                <w:bCs/>
                <w:spacing w:val="10"/>
                <w:sz w:val="21"/>
                <w:szCs w:val="21"/>
              </w:rPr>
            </w:pPr>
            <w:r>
              <w:rPr>
                <w:rFonts w:hint="eastAsia" w:ascii="宋体" w:hAnsi="宋体"/>
                <w:bCs/>
                <w:sz w:val="21"/>
                <w:szCs w:val="21"/>
              </w:rPr>
              <w:t>环保投资</w:t>
            </w:r>
          </w:p>
        </w:tc>
        <w:tc>
          <w:tcPr>
            <w:tcW w:w="8457"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sz w:val="21"/>
                <w:szCs w:val="21"/>
              </w:rPr>
            </w:pPr>
            <w:r>
              <w:rPr>
                <w:rFonts w:hint="default"/>
                <w:sz w:val="21"/>
                <w:szCs w:val="21"/>
              </w:rPr>
              <w:t>项目总投资24000万元，其中环保投资预计206万元，环保投资约占总投资的0.86%。主要包括施工期的各项环境污染治理投资、生态保护及水土保持投资。主要环保设施及投资额见表</w:t>
            </w:r>
            <w:r>
              <w:rPr>
                <w:rFonts w:hint="eastAsia"/>
                <w:sz w:val="21"/>
                <w:szCs w:val="21"/>
                <w:lang w:val="en-US" w:eastAsia="zh-CN"/>
              </w:rPr>
              <w:t>5</w:t>
            </w:r>
            <w:r>
              <w:rPr>
                <w:rFonts w:hint="default"/>
                <w:sz w:val="21"/>
                <w:szCs w:val="21"/>
              </w:rPr>
              <w:t>-1。</w:t>
            </w:r>
          </w:p>
          <w:p>
            <w:pPr>
              <w:ind w:firstLine="422"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ascii="Times New Roman" w:hAnsi="Times New Roman" w:cs="Times New Roman"/>
                <w:b/>
                <w:bCs/>
                <w:sz w:val="21"/>
                <w:szCs w:val="21"/>
                <w:lang w:val="en-US" w:eastAsia="zh-CN"/>
              </w:rPr>
              <w:t>5</w:t>
            </w:r>
            <w:r>
              <w:rPr>
                <w:rFonts w:hint="default" w:ascii="Times New Roman" w:hAnsi="Times New Roman" w:eastAsia="宋体" w:cs="Times New Roman"/>
                <w:b/>
                <w:bCs/>
                <w:sz w:val="21"/>
                <w:szCs w:val="21"/>
              </w:rPr>
              <w:t>-1  主要环保设施投资一览表</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24"/>
              <w:gridCol w:w="3734"/>
              <w:gridCol w:w="549"/>
              <w:gridCol w:w="794"/>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时段</w:t>
                  </w:r>
                </w:p>
              </w:tc>
              <w:tc>
                <w:tcPr>
                  <w:tcW w:w="572" w:type="pc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2279" w:type="pc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344" w:type="pc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430" w:type="pc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tc>
              <w:tc>
                <w:tcPr>
                  <w:tcW w:w="914" w:type="pct"/>
                  <w:vAlign w:val="center"/>
                </w:tcPr>
                <w:p>
                  <w:pPr>
                    <w:adjustRightInd w:val="0"/>
                    <w:snapToGrid w:val="0"/>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施工期</w:t>
                  </w: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粉尘</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洒水、淋水、车辆运输苫盖</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施工废水</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施工废水沉淀池（20m3）</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分类收集四色垃圾桶</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若干</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营运期</w:t>
                  </w:r>
                </w:p>
              </w:tc>
              <w:tc>
                <w:tcPr>
                  <w:tcW w:w="572" w:type="pct"/>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化粪池（5m3）</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Merge w:val="continue"/>
                  <w:vAlign w:val="center"/>
                </w:tcPr>
                <w:p>
                  <w:pPr>
                    <w:widowControl/>
                    <w:spacing w:line="240" w:lineRule="auto"/>
                    <w:rPr>
                      <w:rFonts w:hint="default" w:ascii="Times New Roman" w:hAnsi="Times New Roman" w:eastAsia="宋体" w:cs="Times New Roman"/>
                      <w:sz w:val="21"/>
                      <w:szCs w:val="21"/>
                    </w:rPr>
                  </w:pP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隔油池（3m3）</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Merge w:val="continue"/>
                  <w:vAlign w:val="center"/>
                </w:tcPr>
                <w:p>
                  <w:pPr>
                    <w:widowControl/>
                    <w:spacing w:line="240" w:lineRule="auto"/>
                    <w:rPr>
                      <w:rFonts w:hint="default" w:ascii="Times New Roman" w:hAnsi="Times New Roman" w:eastAsia="宋体" w:cs="Times New Roman"/>
                      <w:sz w:val="21"/>
                      <w:szCs w:val="21"/>
                    </w:rPr>
                  </w:pP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一体化生活污水处理设施（1m3/h）</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食堂废水</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油水分离器</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座</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食堂油烟</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食堂油烟净化器</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危险废物</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危废暂存间、收油盒、废油存放的专用容器</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套</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572"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分类收集四色垃圾桶</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个</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若干</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58" w:type="pct"/>
                  <w:vMerge w:val="continue"/>
                  <w:vAlign w:val="center"/>
                </w:tcPr>
                <w:p>
                  <w:pPr>
                    <w:widowControl/>
                    <w:spacing w:line="240" w:lineRule="auto"/>
                    <w:rPr>
                      <w:rFonts w:hint="default" w:ascii="Times New Roman" w:hAnsi="Times New Roman" w:eastAsia="宋体" w:cs="Times New Roman"/>
                      <w:sz w:val="21"/>
                      <w:szCs w:val="21"/>
                    </w:rPr>
                  </w:pPr>
                </w:p>
              </w:tc>
              <w:tc>
                <w:tcPr>
                  <w:tcW w:w="2852" w:type="pct"/>
                  <w:gridSpan w:val="2"/>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开关站场区绿化</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m2</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2006.5</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30" w:type="pct"/>
                  <w:gridSpan w:val="2"/>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生态保护及</w:t>
                  </w:r>
                </w:p>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水土保持</w:t>
                  </w: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混凝土排水沟、土地整治等</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14" w:type="pct"/>
                  <w:vMerge w:val="restar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30" w:type="pct"/>
                  <w:gridSpan w:val="2"/>
                  <w:vMerge w:val="continue"/>
                  <w:vAlign w:val="center"/>
                </w:tcPr>
                <w:p>
                  <w:pPr>
                    <w:widowControl/>
                    <w:spacing w:line="240" w:lineRule="auto"/>
                    <w:rPr>
                      <w:rFonts w:hint="default" w:ascii="Times New Roman" w:hAnsi="Times New Roman" w:eastAsia="宋体" w:cs="Times New Roman"/>
                      <w:sz w:val="21"/>
                      <w:szCs w:val="21"/>
                    </w:rPr>
                  </w:pP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植树种草、植被恢复等</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14" w:type="pct"/>
                  <w:vMerge w:val="continue"/>
                  <w:vAlign w:val="center"/>
                </w:tcPr>
                <w:p>
                  <w:pPr>
                    <w:adjustRightInd w:val="0"/>
                    <w:snapToGrid w:val="0"/>
                    <w:spacing w:line="240" w:lineRule="auto"/>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30" w:type="pct"/>
                  <w:gridSpan w:val="2"/>
                  <w:vMerge w:val="continue"/>
                  <w:vAlign w:val="center"/>
                </w:tcPr>
                <w:p>
                  <w:pPr>
                    <w:widowControl/>
                    <w:spacing w:line="240" w:lineRule="auto"/>
                    <w:rPr>
                      <w:rFonts w:hint="default" w:ascii="Times New Roman" w:hAnsi="Times New Roman" w:eastAsia="宋体" w:cs="Times New Roman"/>
                      <w:sz w:val="21"/>
                      <w:szCs w:val="21"/>
                    </w:rPr>
                  </w:pPr>
                </w:p>
              </w:tc>
              <w:tc>
                <w:tcPr>
                  <w:tcW w:w="2279"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临时袋挡墙、临时排水沟、洒水等</w:t>
                  </w:r>
                </w:p>
              </w:tc>
              <w:tc>
                <w:tcPr>
                  <w:tcW w:w="34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430"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085" w:type="pct"/>
                  <w:gridSpan w:val="5"/>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914" w:type="pct"/>
                  <w:vAlign w:val="center"/>
                </w:tcPr>
                <w:p>
                  <w:pPr>
                    <w:adjustRightInd w:val="0"/>
                    <w:snapToGrid w:val="0"/>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206</w:t>
                  </w:r>
                </w:p>
              </w:tc>
            </w:tr>
          </w:tbl>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eastAsia="宋体"/>
                <w:sz w:val="21"/>
                <w:szCs w:val="21"/>
                <w:lang w:val="en-US" w:eastAsia="zh-CN"/>
              </w:rPr>
            </w:pPr>
          </w:p>
        </w:tc>
      </w:tr>
    </w:tbl>
    <w:p>
      <w:pPr>
        <w:pStyle w:val="2"/>
        <w:rPr>
          <w:rFonts w:hint="eastAsia"/>
          <w:sz w:val="21"/>
          <w:szCs w:val="21"/>
        </w:rPr>
        <w:sectPr>
          <w:pgSz w:w="11906" w:h="16838"/>
          <w:pgMar w:top="1440" w:right="1800" w:bottom="1440" w:left="1800" w:header="851" w:footer="992" w:gutter="0"/>
          <w:pgNumType w:fmt="decimal"/>
          <w:cols w:space="425" w:num="1"/>
          <w:docGrid w:type="lines" w:linePitch="312" w:charSpace="0"/>
        </w:sectPr>
      </w:pPr>
    </w:p>
    <w:p>
      <w:pPr>
        <w:pStyle w:val="4"/>
        <w:ind w:left="0" w:leftChars="0" w:firstLine="0" w:firstLineChars="0"/>
        <w:jc w:val="center"/>
        <w:rPr>
          <w:rFonts w:hint="eastAsia"/>
          <w:sz w:val="21"/>
          <w:szCs w:val="21"/>
        </w:rPr>
      </w:pPr>
      <w:r>
        <w:rPr>
          <w:rFonts w:hint="eastAsia" w:ascii="黑体" w:hAnsi="黑体" w:eastAsia="黑体"/>
          <w:snapToGrid w:val="0"/>
          <w:sz w:val="21"/>
          <w:szCs w:val="21"/>
        </w:rPr>
        <w:t>六、生态环境保护措施监督检查清单</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1318"/>
        <w:gridCol w:w="1896"/>
        <w:gridCol w:w="1366"/>
        <w:gridCol w:w="1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vMerge w:val="restart"/>
            <w:tcBorders>
              <w:tl2br w:val="single" w:color="auto" w:sz="4" w:space="0"/>
            </w:tcBorders>
            <w:noWrap w:val="0"/>
            <w:vAlign w:val="top"/>
          </w:tcPr>
          <w:p>
            <w:pPr>
              <w:pStyle w:val="15"/>
              <w:adjustRightInd w:val="0"/>
              <w:snapToGrid w:val="0"/>
              <w:spacing w:before="72" w:beforeLines="30" w:beforeAutospacing="0" w:after="0" w:afterAutospacing="0"/>
              <w:jc w:val="center"/>
              <w:outlineLvl w:val="0"/>
              <w:rPr>
                <w:rFonts w:hint="eastAsia" w:ascii="黑体" w:hAnsi="黑体" w:eastAsia="黑体" w:cs="宋体"/>
                <w:kern w:val="2"/>
                <w:sz w:val="21"/>
                <w:szCs w:val="21"/>
              </w:rPr>
            </w:pPr>
            <w:r>
              <w:rPr>
                <w:rFonts w:hint="eastAsia" w:ascii="黑体" w:hAnsi="黑体" w:eastAsia="黑体" w:cs="宋体"/>
                <w:kern w:val="2"/>
                <w:sz w:val="21"/>
                <w:szCs w:val="21"/>
              </w:rPr>
              <w:t xml:space="preserve">       </w:t>
            </w:r>
          </w:p>
          <w:p>
            <w:pPr>
              <w:pStyle w:val="15"/>
              <w:adjustRightInd w:val="0"/>
              <w:snapToGrid w:val="0"/>
              <w:spacing w:before="72" w:beforeLines="3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 xml:space="preserve">             内容</w:t>
            </w:r>
          </w:p>
          <w:p>
            <w:pPr>
              <w:pStyle w:val="15"/>
              <w:adjustRightInd w:val="0"/>
              <w:snapToGrid w:val="0"/>
              <w:spacing w:before="0" w:beforeAutospacing="0" w:after="0" w:afterAutospacing="0" w:line="14" w:lineRule="auto"/>
              <w:outlineLvl w:val="0"/>
              <w:rPr>
                <w:rFonts w:hint="eastAsia" w:ascii="黑体" w:hAnsi="黑体" w:eastAsia="黑体" w:cs="宋体"/>
                <w:kern w:val="2"/>
                <w:sz w:val="21"/>
                <w:szCs w:val="21"/>
              </w:rPr>
            </w:pPr>
            <w:r>
              <w:rPr>
                <w:rFonts w:hint="eastAsia" w:ascii="黑体" w:hAnsi="黑体" w:eastAsia="黑体" w:cs="宋体"/>
                <w:kern w:val="2"/>
                <w:sz w:val="21"/>
                <w:szCs w:val="21"/>
              </w:rPr>
              <w:t xml:space="preserve">  </w:t>
            </w:r>
          </w:p>
          <w:p>
            <w:pPr>
              <w:pStyle w:val="15"/>
              <w:adjustRightInd w:val="0"/>
              <w:snapToGrid w:val="0"/>
              <w:spacing w:before="0" w:beforeAutospacing="0" w:after="0" w:afterAutospacing="0"/>
              <w:outlineLvl w:val="0"/>
              <w:rPr>
                <w:rFonts w:hint="eastAsia" w:ascii="黑体" w:hAnsi="黑体" w:eastAsia="黑体" w:cs="宋体"/>
                <w:kern w:val="2"/>
                <w:sz w:val="21"/>
                <w:szCs w:val="21"/>
              </w:rPr>
            </w:pPr>
            <w:r>
              <w:rPr>
                <w:rFonts w:hint="eastAsia" w:ascii="黑体" w:hAnsi="黑体" w:eastAsia="黑体" w:cs="宋体"/>
                <w:kern w:val="2"/>
                <w:sz w:val="21"/>
                <w:szCs w:val="21"/>
              </w:rPr>
              <w:t>要素</w:t>
            </w:r>
          </w:p>
        </w:tc>
        <w:tc>
          <w:tcPr>
            <w:tcW w:w="1885" w:type="pct"/>
            <w:gridSpan w:val="2"/>
            <w:noWrap w:val="0"/>
            <w:vAlign w:val="center"/>
          </w:tcPr>
          <w:p>
            <w:pPr>
              <w:pStyle w:val="15"/>
              <w:adjustRightInd w:val="0"/>
              <w:snapToGrid w:val="0"/>
              <w:spacing w:before="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施工期</w:t>
            </w:r>
          </w:p>
        </w:tc>
        <w:tc>
          <w:tcPr>
            <w:tcW w:w="1915" w:type="pct"/>
            <w:gridSpan w:val="2"/>
            <w:noWrap w:val="0"/>
            <w:vAlign w:val="center"/>
          </w:tcPr>
          <w:p>
            <w:pPr>
              <w:pStyle w:val="15"/>
              <w:adjustRightInd w:val="0"/>
              <w:snapToGrid w:val="0"/>
              <w:spacing w:before="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vMerge w:val="continue"/>
            <w:noWrap w:val="0"/>
            <w:vAlign w:val="top"/>
          </w:tcPr>
          <w:p>
            <w:pPr>
              <w:pStyle w:val="15"/>
              <w:adjustRightInd w:val="0"/>
              <w:snapToGrid w:val="0"/>
              <w:spacing w:before="0" w:beforeAutospacing="0" w:after="0" w:afterAutospacing="0"/>
              <w:ind w:firstLine="840"/>
              <w:jc w:val="center"/>
              <w:outlineLvl w:val="0"/>
              <w:rPr>
                <w:rFonts w:ascii="黑体" w:hAnsi="黑体" w:eastAsia="黑体" w:cs="宋体"/>
                <w:kern w:val="2"/>
                <w:sz w:val="21"/>
                <w:szCs w:val="21"/>
              </w:rPr>
            </w:pPr>
          </w:p>
        </w:tc>
        <w:tc>
          <w:tcPr>
            <w:tcW w:w="773" w:type="pct"/>
            <w:noWrap w:val="0"/>
            <w:vAlign w:val="center"/>
          </w:tcPr>
          <w:p>
            <w:pPr>
              <w:pStyle w:val="15"/>
              <w:adjustRightInd w:val="0"/>
              <w:snapToGrid w:val="0"/>
              <w:spacing w:before="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环境保护措施</w:t>
            </w:r>
          </w:p>
        </w:tc>
        <w:tc>
          <w:tcPr>
            <w:tcW w:w="1112" w:type="pct"/>
            <w:noWrap w:val="0"/>
            <w:vAlign w:val="center"/>
          </w:tcPr>
          <w:p>
            <w:pPr>
              <w:pStyle w:val="15"/>
              <w:adjustRightInd w:val="0"/>
              <w:snapToGrid w:val="0"/>
              <w:spacing w:before="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验收要求</w:t>
            </w:r>
          </w:p>
        </w:tc>
        <w:tc>
          <w:tcPr>
            <w:tcW w:w="801" w:type="pct"/>
            <w:noWrap w:val="0"/>
            <w:vAlign w:val="center"/>
          </w:tcPr>
          <w:p>
            <w:pPr>
              <w:pStyle w:val="15"/>
              <w:adjustRightInd w:val="0"/>
              <w:snapToGrid w:val="0"/>
              <w:spacing w:before="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环境保护措施</w:t>
            </w:r>
          </w:p>
        </w:tc>
        <w:tc>
          <w:tcPr>
            <w:tcW w:w="1113" w:type="pct"/>
            <w:noWrap w:val="0"/>
            <w:vAlign w:val="center"/>
          </w:tcPr>
          <w:p>
            <w:pPr>
              <w:pStyle w:val="15"/>
              <w:adjustRightInd w:val="0"/>
              <w:snapToGrid w:val="0"/>
              <w:spacing w:before="0" w:beforeAutospacing="0" w:after="0" w:afterAutospacing="0"/>
              <w:jc w:val="center"/>
              <w:outlineLvl w:val="0"/>
              <w:rPr>
                <w:rFonts w:ascii="黑体" w:hAnsi="黑体" w:eastAsia="黑体" w:cs="宋体"/>
                <w:kern w:val="2"/>
                <w:sz w:val="21"/>
                <w:szCs w:val="21"/>
              </w:rPr>
            </w:pPr>
            <w:r>
              <w:rPr>
                <w:rFonts w:hint="eastAsia" w:ascii="黑体" w:hAnsi="黑体" w:eastAsia="黑体" w:cs="宋体"/>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陆生生态</w:t>
            </w:r>
          </w:p>
        </w:tc>
        <w:tc>
          <w:tcPr>
            <w:tcW w:w="773" w:type="pct"/>
            <w:noWrap w:val="0"/>
            <w:vAlign w:val="center"/>
          </w:tcPr>
          <w:p>
            <w:pPr>
              <w:jc w:val="both"/>
              <w:rPr>
                <w:sz w:val="21"/>
                <w:szCs w:val="21"/>
              </w:rPr>
            </w:pPr>
            <w:r>
              <w:rPr>
                <w:sz w:val="21"/>
                <w:szCs w:val="21"/>
              </w:rPr>
              <w:t>1、施工结束后及时清理场地，恢复土层，对临时占地、裸地进行平整绿化，恢复原貌。</w:t>
            </w:r>
          </w:p>
          <w:p>
            <w:pPr>
              <w:jc w:val="both"/>
              <w:rPr>
                <w:sz w:val="21"/>
                <w:szCs w:val="21"/>
              </w:rPr>
            </w:pPr>
            <w:r>
              <w:rPr>
                <w:rFonts w:hint="eastAsia"/>
                <w:sz w:val="21"/>
                <w:szCs w:val="21"/>
                <w:lang w:val="en-US" w:eastAsia="zh-CN"/>
              </w:rPr>
              <w:t>2</w:t>
            </w:r>
            <w:r>
              <w:rPr>
                <w:sz w:val="21"/>
                <w:szCs w:val="21"/>
              </w:rPr>
              <w:t>、加大宣教力度，在施工期大力宣传野生动物保护法。通过图片教育、公告、宣传册发放等形式，增强施工人员环保意识，并设保护动物宣传牌；</w:t>
            </w:r>
          </w:p>
          <w:p>
            <w:pPr>
              <w:jc w:val="both"/>
              <w:rPr>
                <w:sz w:val="21"/>
                <w:szCs w:val="21"/>
              </w:rPr>
            </w:pPr>
            <w:r>
              <w:rPr>
                <w:rFonts w:hint="eastAsia"/>
                <w:sz w:val="21"/>
                <w:szCs w:val="21"/>
                <w:lang w:val="en-US" w:eastAsia="zh-CN"/>
              </w:rPr>
              <w:t>3</w:t>
            </w:r>
            <w:r>
              <w:rPr>
                <w:sz w:val="21"/>
                <w:szCs w:val="21"/>
              </w:rPr>
              <w:t>、严格划定项目征地范围，施工单位必须禁止施工人员随意捕猎和惊吓各类野生动物。</w:t>
            </w:r>
          </w:p>
          <w:p>
            <w:pPr>
              <w:jc w:val="both"/>
              <w:rPr>
                <w:rFonts w:ascii="宋体" w:hAnsi="宋体" w:cs="宋体"/>
                <w:sz w:val="21"/>
                <w:szCs w:val="21"/>
              </w:rPr>
            </w:pPr>
            <w:r>
              <w:rPr>
                <w:rFonts w:hint="eastAsia"/>
                <w:sz w:val="21"/>
                <w:szCs w:val="21"/>
                <w:lang w:val="en-US" w:eastAsia="zh-CN"/>
              </w:rPr>
              <w:t>4</w:t>
            </w:r>
            <w:r>
              <w:rPr>
                <w:sz w:val="21"/>
                <w:szCs w:val="21"/>
              </w:rPr>
              <w:t>、合理组织施工生产，合理安排高噪声机械施工时间。禁止安排在夜间作业，以免惊扰鸟类等动物栖息、觅食等活动。</w:t>
            </w:r>
          </w:p>
        </w:tc>
        <w:tc>
          <w:tcPr>
            <w:tcW w:w="1112" w:type="pct"/>
            <w:noWrap w:val="0"/>
            <w:vAlign w:val="center"/>
          </w:tcPr>
          <w:p>
            <w:pPr>
              <w:adjustRightInd w:val="0"/>
              <w:snapToGrid w:val="0"/>
              <w:rPr>
                <w:rFonts w:ascii="宋体" w:hAnsi="宋体" w:cs="宋体"/>
                <w:sz w:val="21"/>
                <w:szCs w:val="21"/>
              </w:rPr>
            </w:pPr>
            <w:r>
              <w:rPr>
                <w:rFonts w:hint="eastAsia" w:ascii="宋体" w:hAnsi="宋体" w:cs="宋体"/>
                <w:sz w:val="21"/>
                <w:szCs w:val="21"/>
              </w:rPr>
              <w:t>保护区域生态系统结构的完整性和运行的连续性；保持生态系统的再生产能力</w:t>
            </w:r>
          </w:p>
        </w:tc>
        <w:tc>
          <w:tcPr>
            <w:tcW w:w="801"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水生生态</w:t>
            </w:r>
          </w:p>
        </w:tc>
        <w:tc>
          <w:tcPr>
            <w:tcW w:w="773"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地表水环境</w:t>
            </w:r>
          </w:p>
        </w:tc>
        <w:tc>
          <w:tcPr>
            <w:tcW w:w="773"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施工废水</w:t>
            </w:r>
            <w:r>
              <w:rPr>
                <w:rFonts w:hint="eastAsia" w:ascii="宋体" w:hAnsi="宋体" w:cs="宋体"/>
                <w:sz w:val="21"/>
                <w:szCs w:val="21"/>
              </w:rPr>
              <w:t>经简易沉淀池处理后回用</w:t>
            </w:r>
            <w:r>
              <w:rPr>
                <w:rFonts w:hint="eastAsia" w:ascii="宋体" w:hAnsi="宋体" w:cs="宋体"/>
                <w:sz w:val="21"/>
                <w:szCs w:val="21"/>
                <w:lang w:eastAsia="zh-CN"/>
              </w:rPr>
              <w:t>；</w:t>
            </w:r>
            <w:r>
              <w:rPr>
                <w:rFonts w:hint="eastAsia" w:ascii="宋体" w:hAnsi="宋体" w:cs="宋体"/>
                <w:sz w:val="21"/>
                <w:szCs w:val="21"/>
                <w:lang w:val="en-US" w:eastAsia="zh-CN"/>
              </w:rPr>
              <w:t>生活污水设旱厕，定期清掏作为农家肥。</w:t>
            </w:r>
          </w:p>
        </w:tc>
        <w:tc>
          <w:tcPr>
            <w:tcW w:w="1112" w:type="pct"/>
            <w:noWrap w:val="0"/>
            <w:vAlign w:val="center"/>
          </w:tcPr>
          <w:p>
            <w:pPr>
              <w:adjustRightInd w:val="0"/>
              <w:snapToGrid w:val="0"/>
              <w:rPr>
                <w:rFonts w:ascii="宋体" w:hAnsi="宋体" w:cs="宋体"/>
                <w:sz w:val="21"/>
                <w:szCs w:val="21"/>
              </w:rPr>
            </w:pPr>
            <w:r>
              <w:rPr>
                <w:rFonts w:hint="eastAsia" w:ascii="宋体" w:hAnsi="宋体" w:cs="宋体"/>
                <w:sz w:val="21"/>
                <w:szCs w:val="21"/>
              </w:rPr>
              <w:t>污水综合利用，不外排</w:t>
            </w:r>
          </w:p>
        </w:tc>
        <w:tc>
          <w:tcPr>
            <w:tcW w:w="801" w:type="pct"/>
            <w:noWrap w:val="0"/>
            <w:vAlign w:val="center"/>
          </w:tcPr>
          <w:p>
            <w:pPr>
              <w:autoSpaceDE w:val="0"/>
              <w:autoSpaceDN w:val="0"/>
              <w:adjustRightInd w:val="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食堂废水经油水分离器再与生活污水一起进入化粪池处理及一体化生活污水处理设备，处理后用于场地绿化。</w:t>
            </w:r>
          </w:p>
        </w:tc>
        <w:tc>
          <w:tcPr>
            <w:tcW w:w="1113" w:type="pct"/>
            <w:noWrap w:val="0"/>
            <w:vAlign w:val="center"/>
          </w:tcPr>
          <w:p>
            <w:pPr>
              <w:adjustRightInd w:val="0"/>
              <w:snapToGrid w:val="0"/>
              <w:rPr>
                <w:rFonts w:ascii="宋体" w:hAnsi="宋体" w:eastAsia="宋体" w:cs="宋体"/>
                <w:kern w:val="2"/>
                <w:sz w:val="21"/>
                <w:szCs w:val="21"/>
                <w:lang w:val="en-US" w:eastAsia="zh-CN" w:bidi="ar-SA"/>
              </w:rPr>
            </w:pPr>
            <w:r>
              <w:rPr>
                <w:rFonts w:hint="eastAsia"/>
              </w:rPr>
              <w:t>《城市污水再生利用城市杂用水水质标准》（GB/T 18920-2002）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地下水及土壤环境</w:t>
            </w:r>
          </w:p>
        </w:tc>
        <w:tc>
          <w:tcPr>
            <w:tcW w:w="77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声环境</w:t>
            </w:r>
          </w:p>
        </w:tc>
        <w:tc>
          <w:tcPr>
            <w:tcW w:w="773" w:type="pct"/>
            <w:noWrap w:val="0"/>
            <w:vAlign w:val="center"/>
          </w:tcPr>
          <w:p>
            <w:pPr>
              <w:adjustRightInd w:val="0"/>
              <w:snapToGrid w:val="0"/>
              <w:rPr>
                <w:rFonts w:hint="eastAsia" w:ascii="宋体" w:hAnsi="宋体" w:cs="宋体"/>
                <w:sz w:val="21"/>
                <w:szCs w:val="21"/>
              </w:rPr>
            </w:pPr>
            <w:r>
              <w:rPr>
                <w:rFonts w:hint="eastAsia" w:ascii="宋体" w:hAnsi="宋体" w:cs="宋体"/>
                <w:sz w:val="21"/>
                <w:szCs w:val="21"/>
              </w:rPr>
              <w:t>1、所有进场施工车辆、机械设备，外排噪声指标参数须符合相关环保标准；</w:t>
            </w:r>
          </w:p>
          <w:p>
            <w:pPr>
              <w:adjustRightInd w:val="0"/>
              <w:snapToGrid w:val="0"/>
              <w:rPr>
                <w:rFonts w:hint="eastAsia" w:ascii="宋体" w:hAnsi="宋体" w:cs="宋体"/>
                <w:sz w:val="21"/>
                <w:szCs w:val="21"/>
              </w:rPr>
            </w:pPr>
            <w:r>
              <w:rPr>
                <w:rFonts w:hint="eastAsia" w:ascii="宋体" w:hAnsi="宋体" w:cs="宋体"/>
                <w:sz w:val="21"/>
                <w:szCs w:val="21"/>
              </w:rPr>
              <w:t>2、施工过程中要尽量选用低噪声设备，对机械设备精心养护，保持良好的运行工况，减低设备运行噪声；</w:t>
            </w:r>
          </w:p>
          <w:p>
            <w:pPr>
              <w:adjustRightInd w:val="0"/>
              <w:snapToGrid w:val="0"/>
              <w:rPr>
                <w:rFonts w:hint="eastAsia" w:ascii="宋体" w:hAnsi="宋体" w:cs="宋体"/>
                <w:sz w:val="21"/>
                <w:szCs w:val="21"/>
              </w:rPr>
            </w:pPr>
            <w:r>
              <w:rPr>
                <w:rFonts w:hint="eastAsia" w:ascii="宋体" w:hAnsi="宋体" w:cs="宋体"/>
                <w:sz w:val="21"/>
                <w:szCs w:val="21"/>
              </w:rPr>
              <w:t>3、严格限制进行噪声大的施工以及高噪声设备运行；</w:t>
            </w:r>
          </w:p>
          <w:p>
            <w:pPr>
              <w:adjustRightInd w:val="0"/>
              <w:snapToGrid w:val="0"/>
              <w:rPr>
                <w:rFonts w:ascii="宋体" w:hAnsi="宋体" w:cs="宋体"/>
                <w:sz w:val="21"/>
                <w:szCs w:val="21"/>
              </w:rPr>
            </w:pPr>
            <w:r>
              <w:rPr>
                <w:rFonts w:hint="eastAsia" w:ascii="宋体" w:hAnsi="宋体" w:cs="宋体"/>
                <w:sz w:val="21"/>
                <w:szCs w:val="21"/>
              </w:rPr>
              <w:t>4、夜间22:00至次日6:00禁止进行物料运输</w:t>
            </w:r>
          </w:p>
        </w:tc>
        <w:tc>
          <w:tcPr>
            <w:tcW w:w="1112" w:type="pct"/>
            <w:noWrap w:val="0"/>
            <w:vAlign w:val="center"/>
          </w:tcPr>
          <w:p>
            <w:pPr>
              <w:adjustRightInd w:val="0"/>
              <w:snapToGrid w:val="0"/>
              <w:rPr>
                <w:rFonts w:hint="eastAsia" w:ascii="宋体" w:hAnsi="宋体" w:cs="宋体"/>
                <w:sz w:val="21"/>
                <w:szCs w:val="21"/>
              </w:rPr>
            </w:pPr>
            <w:r>
              <w:rPr>
                <w:rFonts w:hint="eastAsia" w:ascii="宋体" w:hAnsi="宋体" w:cs="宋体"/>
                <w:sz w:val="21"/>
                <w:szCs w:val="21"/>
              </w:rPr>
              <w:t>《建筑施工场界环境噪声排放标准》</w:t>
            </w:r>
          </w:p>
          <w:p>
            <w:pPr>
              <w:adjustRightInd w:val="0"/>
              <w:snapToGrid w:val="0"/>
              <w:rPr>
                <w:rFonts w:ascii="宋体" w:hAnsi="宋体" w:cs="宋体"/>
                <w:sz w:val="21"/>
                <w:szCs w:val="21"/>
              </w:rPr>
            </w:pPr>
            <w:r>
              <w:rPr>
                <w:rFonts w:hint="eastAsia" w:ascii="宋体" w:hAnsi="宋体" w:cs="宋体"/>
                <w:sz w:val="21"/>
                <w:szCs w:val="21"/>
              </w:rPr>
              <w:t>（GB12523-2011）</w:t>
            </w:r>
          </w:p>
        </w:tc>
        <w:tc>
          <w:tcPr>
            <w:tcW w:w="801"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选用低噪声设备</w:t>
            </w:r>
          </w:p>
        </w:tc>
        <w:tc>
          <w:tcPr>
            <w:tcW w:w="1113" w:type="pct"/>
            <w:noWrap w:val="0"/>
            <w:vAlign w:val="center"/>
          </w:tcPr>
          <w:p>
            <w:pPr>
              <w:adjustRightInd w:val="0"/>
              <w:snapToGrid w:val="0"/>
              <w:rPr>
                <w:rFonts w:ascii="宋体" w:hAnsi="宋体" w:cs="宋体"/>
                <w:sz w:val="21"/>
                <w:szCs w:val="21"/>
              </w:rPr>
            </w:pPr>
            <w:r>
              <w:rPr>
                <w:rFonts w:hint="eastAsia" w:ascii="宋体" w:hAnsi="宋体" w:cs="宋体"/>
                <w:sz w:val="21"/>
                <w:szCs w:val="21"/>
              </w:rPr>
              <w:t>GB3096-2008《声环境质量标准》中2类标准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振动</w:t>
            </w:r>
          </w:p>
        </w:tc>
        <w:tc>
          <w:tcPr>
            <w:tcW w:w="77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ascii="宋体" w:hAnsi="宋体" w:cs="宋体"/>
                <w:sz w:val="21"/>
                <w:szCs w:val="21"/>
              </w:rPr>
            </w:pPr>
          </w:p>
        </w:tc>
        <w:tc>
          <w:tcPr>
            <w:tcW w:w="1113" w:type="pct"/>
            <w:noWrap w:val="0"/>
            <w:vAlign w:val="center"/>
          </w:tcPr>
          <w:p>
            <w:pPr>
              <w:adjustRightInd w:val="0"/>
              <w:snapToGrid w:val="0"/>
              <w:rPr>
                <w:rFonts w:ascii="宋体" w:hAnsi="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大气环境</w:t>
            </w:r>
          </w:p>
        </w:tc>
        <w:tc>
          <w:tcPr>
            <w:tcW w:w="77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rPr>
              <w:t>职工食堂</w:t>
            </w:r>
            <w:r>
              <w:rPr>
                <w:rFonts w:hint="eastAsia" w:ascii="宋体" w:hAnsi="宋体" w:cs="宋体"/>
                <w:sz w:val="21"/>
                <w:szCs w:val="21"/>
                <w:lang w:val="en-US" w:eastAsia="zh-CN"/>
              </w:rPr>
              <w:t>产生的油烟经油烟净化器（风量为1000m3/h，净化效率60%）处理后，排气筒引至楼顶排放</w:t>
            </w:r>
          </w:p>
        </w:tc>
        <w:tc>
          <w:tcPr>
            <w:tcW w:w="1113" w:type="pct"/>
            <w:noWrap w:val="0"/>
            <w:vAlign w:val="center"/>
          </w:tcPr>
          <w:p>
            <w:pPr>
              <w:adjustRightInd w:val="0"/>
              <w:snapToGrid w:val="0"/>
              <w:rPr>
                <w:rFonts w:ascii="宋体" w:hAnsi="宋体" w:cs="宋体"/>
                <w:sz w:val="21"/>
                <w:szCs w:val="21"/>
              </w:rPr>
            </w:pPr>
            <w:r>
              <w:rPr>
                <w:rFonts w:hint="eastAsia" w:ascii="宋体" w:hAnsi="宋体" w:cs="宋体"/>
                <w:sz w:val="21"/>
                <w:szCs w:val="21"/>
              </w:rPr>
              <w:t>《饮食业油烟排放标准》（试行）（GB18483-2001）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固体废物</w:t>
            </w:r>
          </w:p>
        </w:tc>
        <w:tc>
          <w:tcPr>
            <w:tcW w:w="773" w:type="pct"/>
            <w:noWrap w:val="0"/>
            <w:vAlign w:val="center"/>
          </w:tcPr>
          <w:p>
            <w:pPr>
              <w:adjustRightInd w:val="0"/>
              <w:snapToGrid w:val="0"/>
              <w:rPr>
                <w:rFonts w:hint="eastAsia" w:ascii="宋体" w:hAnsi="宋体" w:cs="宋体"/>
                <w:sz w:val="21"/>
                <w:szCs w:val="21"/>
              </w:rPr>
            </w:pPr>
            <w:r>
              <w:rPr>
                <w:rFonts w:hint="eastAsia" w:ascii="宋体" w:hAnsi="宋体" w:cs="宋体"/>
                <w:sz w:val="21"/>
                <w:szCs w:val="21"/>
              </w:rPr>
              <w:t>1、生活垃圾用专用垃圾桶分类集中收集，及时清运，依托当地环卫部门收运处置。</w:t>
            </w:r>
          </w:p>
          <w:p>
            <w:pPr>
              <w:adjustRightInd w:val="0"/>
              <w:snapToGrid w:val="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建筑垃圾统一收集运往当地环保部门指定建筑垃圾填埋场处置</w:t>
            </w:r>
          </w:p>
        </w:tc>
        <w:tc>
          <w:tcPr>
            <w:tcW w:w="1112"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处置率达到100%</w:t>
            </w:r>
          </w:p>
        </w:tc>
        <w:tc>
          <w:tcPr>
            <w:tcW w:w="801"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生活垃圾分类收集后交由环卫部门；餐饮废油脂收集后交由有资质单位回收处理；产生的危险废物暂存于危险废物储存间交由有资质的单位处置</w:t>
            </w:r>
          </w:p>
        </w:tc>
        <w:tc>
          <w:tcPr>
            <w:tcW w:w="1113" w:type="pct"/>
            <w:noWrap w:val="0"/>
            <w:vAlign w:val="center"/>
          </w:tcPr>
          <w:p>
            <w:pPr>
              <w:adjustRightInd w:val="0"/>
              <w:snapToGrid w:val="0"/>
              <w:rPr>
                <w:rFonts w:hint="eastAsia" w:ascii="宋体" w:hAnsi="宋体" w:eastAsia="宋体" w:cs="宋体"/>
                <w:sz w:val="21"/>
                <w:szCs w:val="21"/>
                <w:lang w:eastAsia="zh-CN"/>
              </w:rPr>
            </w:pPr>
            <w:r>
              <w:rPr>
                <w:rFonts w:hint="eastAsia" w:ascii="宋体" w:hAnsi="宋体" w:cs="宋体"/>
                <w:sz w:val="21"/>
                <w:szCs w:val="21"/>
              </w:rPr>
              <w:t>GB18599-2001《一般工业固体废物贮存、处置场污染控制标准》及2013年修改单</w:t>
            </w:r>
            <w:r>
              <w:rPr>
                <w:rFonts w:hint="eastAsia" w:ascii="宋体" w:hAnsi="宋体" w:cs="宋体"/>
                <w:sz w:val="21"/>
                <w:szCs w:val="21"/>
                <w:lang w:eastAsia="zh-CN"/>
              </w:rPr>
              <w:t>、GB18597-2001《危险废物贮存污染物控制标准》及2013年修改单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电磁环境</w:t>
            </w:r>
          </w:p>
        </w:tc>
        <w:tc>
          <w:tcPr>
            <w:tcW w:w="77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环境风险</w:t>
            </w:r>
          </w:p>
        </w:tc>
        <w:tc>
          <w:tcPr>
            <w:tcW w:w="77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c>
          <w:tcPr>
            <w:tcW w:w="1113" w:type="pct"/>
            <w:noWrap w:val="0"/>
            <w:vAlign w:val="center"/>
          </w:tcPr>
          <w:p>
            <w:pPr>
              <w:adjustRightInd w:val="0"/>
              <w:snapToGrid w:val="0"/>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环境监测</w:t>
            </w:r>
          </w:p>
        </w:tc>
        <w:tc>
          <w:tcPr>
            <w:tcW w:w="773" w:type="pct"/>
            <w:noWrap w:val="0"/>
            <w:vAlign w:val="center"/>
          </w:tcPr>
          <w:p>
            <w:pPr>
              <w:adjustRightInd w:val="0"/>
              <w:snapToGrid w:val="0"/>
              <w:rPr>
                <w:rFonts w:hint="eastAsia" w:ascii="宋体" w:hAnsi="宋体" w:eastAsia="宋体" w:cs="宋体"/>
                <w:sz w:val="21"/>
                <w:szCs w:val="21"/>
                <w:lang w:val="en-US" w:eastAsia="zh-CN"/>
              </w:rPr>
            </w:pPr>
            <w:r>
              <w:rPr>
                <w:rFonts w:hint="default" w:ascii="Times New Roman" w:hAnsi="Times New Roman" w:eastAsia="宋体" w:cs="Times New Roman"/>
              </w:rPr>
              <w:t>西高城村敏感点</w:t>
            </w:r>
            <w:r>
              <w:rPr>
                <w:rFonts w:hint="eastAsia" w:ascii="Times New Roman" w:hAnsi="Times New Roman" w:cs="Times New Roman"/>
                <w:lang w:val="en-US" w:eastAsia="zh-CN"/>
              </w:rPr>
              <w:t>监测</w:t>
            </w:r>
            <w:r>
              <w:rPr>
                <w:rFonts w:hint="eastAsia" w:ascii="宋体" w:hAnsi="宋体" w:eastAsia="宋体" w:cs="宋体"/>
                <w:sz w:val="21"/>
                <w:szCs w:val="21"/>
                <w:lang w:val="en-US" w:eastAsia="zh-CN"/>
              </w:rPr>
              <w:t>施工噪声</w:t>
            </w:r>
          </w:p>
        </w:tc>
        <w:tc>
          <w:tcPr>
            <w:tcW w:w="1112"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每季度一次，执行</w:t>
            </w:r>
            <w:r>
              <w:rPr>
                <w:rFonts w:hint="default" w:ascii="Times New Roman" w:hAnsi="Times New Roman" w:eastAsia="宋体" w:cs="Times New Roman"/>
              </w:rPr>
              <w:t>GB3096-2008《声环境质量标准》中2类标准</w:t>
            </w:r>
          </w:p>
        </w:tc>
        <w:tc>
          <w:tcPr>
            <w:tcW w:w="801"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鸟情生态监测</w:t>
            </w:r>
          </w:p>
        </w:tc>
        <w:tc>
          <w:tcPr>
            <w:tcW w:w="1113"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（每年3次，分别安排在鸟类迁徙期、越冬期和繁殖期），在评价区域设置5条固定监测样线，样线长度25km；配备单、双筒望远镜（各2套）、野外保护用品（4套）、资料（2套）等监测设备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pct"/>
            <w:noWrap w:val="0"/>
            <w:vAlign w:val="center"/>
          </w:tcPr>
          <w:p>
            <w:pPr>
              <w:adjustRightInd w:val="0"/>
              <w:snapToGrid w:val="0"/>
              <w:jc w:val="center"/>
              <w:rPr>
                <w:rFonts w:ascii="宋体" w:hAnsi="宋体" w:cs="宋体"/>
                <w:sz w:val="21"/>
                <w:szCs w:val="21"/>
              </w:rPr>
            </w:pPr>
            <w:r>
              <w:rPr>
                <w:rFonts w:hint="eastAsia" w:ascii="宋体" w:hAnsi="宋体" w:cs="宋体"/>
                <w:sz w:val="21"/>
                <w:szCs w:val="21"/>
              </w:rPr>
              <w:t>其他</w:t>
            </w:r>
          </w:p>
        </w:tc>
        <w:tc>
          <w:tcPr>
            <w:tcW w:w="773"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1112"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801"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c>
          <w:tcPr>
            <w:tcW w:w="1113" w:type="pct"/>
            <w:noWrap w:val="0"/>
            <w:vAlign w:val="center"/>
          </w:tcPr>
          <w:p>
            <w:pPr>
              <w:adjustRightInd w:val="0"/>
              <w:snapToGrid w:val="0"/>
              <w:rPr>
                <w:rFonts w:hint="default" w:ascii="宋体" w:hAnsi="宋体" w:eastAsia="宋体" w:cs="宋体"/>
                <w:sz w:val="21"/>
                <w:szCs w:val="21"/>
                <w:lang w:val="en-US" w:eastAsia="zh-CN"/>
              </w:rPr>
            </w:pPr>
            <w:r>
              <w:rPr>
                <w:rFonts w:hint="eastAsia" w:ascii="宋体" w:hAnsi="宋体" w:cs="宋体"/>
                <w:sz w:val="21"/>
                <w:szCs w:val="21"/>
                <w:lang w:val="en-US" w:eastAsia="zh-CN"/>
              </w:rPr>
              <w:t>/</w:t>
            </w:r>
          </w:p>
        </w:tc>
      </w:tr>
    </w:tbl>
    <w:p>
      <w:pPr>
        <w:pStyle w:val="4"/>
        <w:ind w:left="0" w:leftChars="0" w:firstLine="0" w:firstLineChars="0"/>
        <w:jc w:val="center"/>
        <w:rPr>
          <w:rFonts w:hint="eastAsia"/>
          <w:sz w:val="21"/>
          <w:szCs w:val="21"/>
        </w:rPr>
        <w:sectPr>
          <w:pgSz w:w="11906" w:h="16838"/>
          <w:pgMar w:top="1440" w:right="1800" w:bottom="1440" w:left="1800" w:header="851" w:footer="992" w:gutter="0"/>
          <w:pgNumType w:fmt="decimal"/>
          <w:cols w:space="425" w:num="1"/>
          <w:docGrid w:type="lines" w:linePitch="312" w:charSpace="0"/>
        </w:sectPr>
      </w:pPr>
    </w:p>
    <w:p>
      <w:pPr>
        <w:pStyle w:val="15"/>
        <w:spacing w:before="192" w:beforeLines="80" w:beforeAutospacing="0"/>
        <w:jc w:val="center"/>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17"/>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pPr>
              <w:pStyle w:val="25"/>
              <w:keepNext w:val="0"/>
              <w:keepLines w:val="0"/>
              <w:pageBreakBefore w:val="0"/>
              <w:widowControl w:val="0"/>
              <w:kinsoku/>
              <w:wordWrap/>
              <w:overflowPunct/>
              <w:topLinePunct w:val="0"/>
              <w:bidi w:val="0"/>
              <w:spacing w:line="360" w:lineRule="auto"/>
              <w:ind w:firstLine="420" w:firstLineChars="200"/>
              <w:jc w:val="both"/>
              <w:textAlignment w:val="auto"/>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本项目建设占地不涉及自然保护区、风景名胜区和森林公园等生态敏感区域；</w:t>
            </w:r>
            <w:r>
              <w:rPr>
                <w:rFonts w:hint="default" w:ascii="Times New Roman" w:hAnsi="Times New Roman" w:eastAsia="宋体" w:cs="Times New Roman"/>
                <w:bCs/>
                <w:color w:val="000000" w:themeColor="text1"/>
                <w:sz w:val="21"/>
                <w:szCs w:val="21"/>
                <w14:textFill>
                  <w14:solidFill>
                    <w14:schemeClr w14:val="tx1"/>
                  </w14:solidFill>
                </w14:textFill>
              </w:rPr>
              <w:t>根据</w:t>
            </w:r>
            <w:r>
              <w:rPr>
                <w:rFonts w:hint="eastAsia" w:ascii="Times New Roman" w:hAnsi="Times New Roman"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lang w:val="en-US" w:eastAsia="zh-CN"/>
                <w14:textFill>
                  <w14:solidFill>
                    <w14:schemeClr w14:val="tx1"/>
                  </w14:solidFill>
                </w14:textFill>
              </w:rPr>
              <w:t>国顺新能源渭南市大荔县范家两宜分散式风电项目对鸟类影响评价报告</w:t>
            </w:r>
            <w:r>
              <w:rPr>
                <w:rFonts w:hint="eastAsia" w:ascii="Times New Roman" w:hAnsi="Times New Roman" w:eastAsia="宋体"/>
                <w:color w:val="000000" w:themeColor="text1"/>
                <w:sz w:val="21"/>
                <w:szCs w:val="21"/>
                <w14:textFill>
                  <w14:solidFill>
                    <w14:schemeClr w14:val="tx1"/>
                  </w14:solidFill>
                </w14:textFill>
              </w:rPr>
              <w:t>》</w:t>
            </w:r>
            <w:r>
              <w:rPr>
                <w:rFonts w:hint="default" w:ascii="Times New Roman" w:hAnsi="Times New Roman" w:eastAsia="宋体" w:cs="Times New Roman"/>
                <w:bCs/>
                <w:color w:val="000000" w:themeColor="text1"/>
                <w:sz w:val="21"/>
                <w:szCs w:val="21"/>
                <w14:textFill>
                  <w14:solidFill>
                    <w14:schemeClr w14:val="tx1"/>
                  </w14:solidFill>
                </w14:textFill>
              </w:rPr>
              <w:t>影响评价结论以及本次统计分析结果，确定本项目不在鸟类迁徙的主要通道和迁徙地。</w:t>
            </w:r>
          </w:p>
          <w:p>
            <w:pPr>
              <w:keepNext w:val="0"/>
              <w:keepLines w:val="0"/>
              <w:pageBreakBefore w:val="0"/>
              <w:widowControl w:val="0"/>
              <w:kinsoku/>
              <w:wordWrap/>
              <w:overflowPunct/>
              <w:topLinePunct w:val="0"/>
              <w:bidi w:val="0"/>
              <w:spacing w:line="360" w:lineRule="auto"/>
              <w:ind w:firstLine="420" w:firstLineChars="200"/>
              <w:jc w:val="both"/>
              <w:textAlignment w:val="auto"/>
              <w:rPr>
                <w:sz w:val="21"/>
                <w:szCs w:val="21"/>
              </w:rPr>
            </w:pPr>
            <w:r>
              <w:rPr>
                <w:color w:val="000000" w:themeColor="text1"/>
                <w:sz w:val="21"/>
                <w:szCs w:val="21"/>
                <w14:textFill>
                  <w14:solidFill>
                    <w14:schemeClr w14:val="tx1"/>
                  </w14:solidFill>
                </w14:textFill>
              </w:rPr>
              <w:t>项目占地</w:t>
            </w:r>
            <w:r>
              <w:rPr>
                <w:rFonts w:hint="eastAsia"/>
                <w:color w:val="000000" w:themeColor="text1"/>
                <w:sz w:val="21"/>
                <w:szCs w:val="21"/>
                <w14:textFill>
                  <w14:solidFill>
                    <w14:schemeClr w14:val="tx1"/>
                  </w14:solidFill>
                </w14:textFill>
              </w:rPr>
              <w:t>使区域</w:t>
            </w:r>
            <w:r>
              <w:rPr>
                <w:color w:val="000000" w:themeColor="text1"/>
                <w:sz w:val="21"/>
                <w:szCs w:val="21"/>
                <w14:textFill>
                  <w14:solidFill>
                    <w14:schemeClr w14:val="tx1"/>
                  </w14:solidFill>
                </w14:textFill>
              </w:rPr>
              <w:t>土地利用格局发生</w:t>
            </w:r>
            <w:r>
              <w:rPr>
                <w:rFonts w:hint="eastAsia"/>
                <w:color w:val="000000" w:themeColor="text1"/>
                <w:sz w:val="21"/>
                <w:szCs w:val="21"/>
                <w14:textFill>
                  <w14:solidFill>
                    <w14:schemeClr w14:val="tx1"/>
                  </w14:solidFill>
                </w14:textFill>
              </w:rPr>
              <w:t>变化</w:t>
            </w:r>
            <w:r>
              <w:rPr>
                <w:color w:val="000000" w:themeColor="text1"/>
                <w:sz w:val="21"/>
                <w:szCs w:val="21"/>
                <w14:textFill>
                  <w14:solidFill>
                    <w14:schemeClr w14:val="tx1"/>
                  </w14:solidFill>
                </w14:textFill>
              </w:rPr>
              <w:t>，造成植生物量损失</w:t>
            </w:r>
            <w:r>
              <w:rPr>
                <w:rFonts w:hint="eastAsia"/>
                <w:color w:val="000000" w:themeColor="text1"/>
                <w:sz w:val="21"/>
                <w:szCs w:val="21"/>
                <w14:textFill>
                  <w14:solidFill>
                    <w14:schemeClr w14:val="tx1"/>
                  </w14:solidFill>
                </w14:textFill>
              </w:rPr>
              <w:t>，但是项目占地面积较小，对区域土地利用格</w:t>
            </w:r>
            <w:r>
              <w:rPr>
                <w:rFonts w:hint="eastAsia"/>
                <w:sz w:val="21"/>
                <w:szCs w:val="21"/>
              </w:rPr>
              <w:t>局、</w:t>
            </w:r>
            <w:r>
              <w:rPr>
                <w:sz w:val="21"/>
                <w:szCs w:val="21"/>
              </w:rPr>
              <w:t>自然植被的生态功能及多样性影响较小</w:t>
            </w:r>
            <w:r>
              <w:rPr>
                <w:rFonts w:hint="eastAsia"/>
                <w:sz w:val="21"/>
                <w:szCs w:val="21"/>
              </w:rPr>
              <w:t>。</w:t>
            </w:r>
          </w:p>
          <w:p>
            <w:pPr>
              <w:keepNext w:val="0"/>
              <w:keepLines w:val="0"/>
              <w:pageBreakBefore w:val="0"/>
              <w:widowControl w:val="0"/>
              <w:kinsoku/>
              <w:wordWrap/>
              <w:overflowPunct/>
              <w:topLinePunct w:val="0"/>
              <w:bidi w:val="0"/>
              <w:adjustRightInd w:val="0"/>
              <w:snapToGrid w:val="0"/>
              <w:spacing w:line="360" w:lineRule="auto"/>
              <w:ind w:firstLine="420" w:firstLineChars="200"/>
              <w:jc w:val="both"/>
              <w:textAlignment w:val="auto"/>
              <w:rPr>
                <w:rFonts w:hint="default" w:ascii="宋体" w:hAnsi="宋体" w:eastAsia="宋体" w:cs="宋体"/>
                <w:sz w:val="21"/>
                <w:szCs w:val="21"/>
                <w:lang w:val="en-US" w:eastAsia="zh-CN"/>
              </w:rPr>
            </w:pPr>
            <w:r>
              <w:rPr>
                <w:rFonts w:hint="eastAsia"/>
                <w:sz w:val="21"/>
                <w:szCs w:val="21"/>
              </w:rPr>
              <w:t>项目建设对陕西黄河湿地省级自然保护区候鸟迁徙的影响较小</w:t>
            </w:r>
            <w:r>
              <w:rPr>
                <w:rFonts w:hint="eastAsia"/>
                <w:sz w:val="21"/>
                <w:szCs w:val="21"/>
                <w:lang w:eastAsia="zh-CN"/>
              </w:rPr>
              <w:t>，</w:t>
            </w:r>
            <w:r>
              <w:rPr>
                <w:rFonts w:hint="eastAsia"/>
                <w:sz w:val="21"/>
                <w:szCs w:val="21"/>
                <w:lang w:val="en-US" w:eastAsia="zh-CN"/>
              </w:rPr>
              <w:t>从环保的角度出发本项目的建设是可行的。</w:t>
            </w:r>
          </w:p>
        </w:tc>
      </w:tr>
    </w:tbl>
    <w:p>
      <w:pPr>
        <w:rPr>
          <w:rFonts w:hint="eastAsia"/>
          <w:sz w:val="21"/>
          <w:szCs w:val="21"/>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B6F02"/>
    <w:multiLevelType w:val="singleLevel"/>
    <w:tmpl w:val="D14B6F02"/>
    <w:lvl w:ilvl="0" w:tentative="0">
      <w:start w:val="1"/>
      <w:numFmt w:val="decimal"/>
      <w:suff w:val="nothing"/>
      <w:lvlText w:val="%1、"/>
      <w:lvlJc w:val="left"/>
    </w:lvl>
  </w:abstractNum>
  <w:abstractNum w:abstractNumId="1">
    <w:nsid w:val="06E66CD9"/>
    <w:multiLevelType w:val="singleLevel"/>
    <w:tmpl w:val="06E66CD9"/>
    <w:lvl w:ilvl="0" w:tentative="0">
      <w:start w:val="1"/>
      <w:numFmt w:val="decimal"/>
      <w:suff w:val="nothing"/>
      <w:lvlText w:val="%1、"/>
      <w:lvlJc w:val="left"/>
    </w:lvl>
  </w:abstractNum>
  <w:abstractNum w:abstractNumId="2">
    <w:nsid w:val="1579F09D"/>
    <w:multiLevelType w:val="singleLevel"/>
    <w:tmpl w:val="1579F09D"/>
    <w:lvl w:ilvl="0" w:tentative="0">
      <w:start w:val="1"/>
      <w:numFmt w:val="decimal"/>
      <w:suff w:val="nothing"/>
      <w:lvlText w:val="%1、"/>
      <w:lvlJc w:val="left"/>
    </w:lvl>
  </w:abstractNum>
  <w:abstractNum w:abstractNumId="3">
    <w:nsid w:val="4FFBD9AC"/>
    <w:multiLevelType w:val="singleLevel"/>
    <w:tmpl w:val="4FFBD9AC"/>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6308C"/>
    <w:rsid w:val="27947554"/>
    <w:rsid w:val="30837308"/>
    <w:rsid w:val="44F27CCC"/>
    <w:rsid w:val="5D962D53"/>
    <w:rsid w:val="65F95133"/>
    <w:rsid w:val="66B51C93"/>
    <w:rsid w:val="74E14999"/>
    <w:rsid w:val="7824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semiHidden/>
    <w:unhideWhenUsed/>
    <w:qFormat/>
    <w:uiPriority w:val="0"/>
    <w:pPr>
      <w:jc w:val="left"/>
      <w:outlineLvl w:val="1"/>
    </w:pPr>
    <w:rPr>
      <w:rFonts w:ascii="Microsoft YaHei UI" w:hAnsi="Microsoft YaHei UI" w:cs="Microsoft YaHei UI"/>
      <w:b/>
      <w:bCs/>
      <w:sz w:val="30"/>
      <w:szCs w:val="28"/>
      <w:lang w:val="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6">
    <w:name w:val="Normal Indent"/>
    <w:basedOn w:val="1"/>
    <w:unhideWhenUsed/>
    <w:qFormat/>
    <w:uiPriority w:val="99"/>
    <w:pPr>
      <w:spacing w:line="400" w:lineRule="exact"/>
      <w:ind w:firstLine="200" w:firstLineChars="200"/>
    </w:pPr>
    <w:rPr>
      <w:rFonts w:ascii="Times New Roman" w:hAnsi="Times New Roman" w:eastAsia="宋体" w:cs="Times New Roman"/>
      <w:sz w:val="24"/>
    </w:rPr>
  </w:style>
  <w:style w:type="paragraph" w:styleId="7">
    <w:name w:val="Body Text"/>
    <w:basedOn w:val="1"/>
    <w:qFormat/>
    <w:uiPriority w:val="0"/>
    <w:pPr>
      <w:widowControl/>
      <w:snapToGrid w:val="0"/>
      <w:spacing w:before="60" w:after="40" w:line="259" w:lineRule="auto"/>
      <w:ind w:right="113"/>
    </w:pPr>
    <w:rPr>
      <w:kern w:val="0"/>
      <w:sz w:val="18"/>
      <w:szCs w:val="20"/>
    </w:rPr>
  </w:style>
  <w:style w:type="paragraph" w:styleId="8">
    <w:name w:val="Body Text Indent"/>
    <w:basedOn w:val="1"/>
    <w:next w:val="9"/>
    <w:semiHidden/>
    <w:qFormat/>
    <w:uiPriority w:val="0"/>
    <w:pPr>
      <w:spacing w:after="120"/>
      <w:ind w:left="420" w:leftChars="200"/>
    </w:pPr>
  </w:style>
  <w:style w:type="paragraph" w:styleId="9">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样式5"/>
    <w:basedOn w:val="11"/>
    <w:qFormat/>
    <w:uiPriority w:val="0"/>
    <w:pPr>
      <w:spacing w:line="380" w:lineRule="exact"/>
      <w:ind w:firstLine="566" w:firstLineChars="202"/>
    </w:pPr>
    <w:rPr>
      <w:rFonts w:eastAsia="华文行楷"/>
      <w:sz w:val="28"/>
    </w:rPr>
  </w:style>
  <w:style w:type="paragraph" w:customStyle="1" w:styleId="11">
    <w:name w:val="样式3"/>
    <w:basedOn w:val="12"/>
    <w:qFormat/>
    <w:uiPriority w:val="0"/>
    <w:pPr>
      <w:ind w:firstLine="200" w:firstLineChars="200"/>
      <w:jc w:val="left"/>
    </w:pPr>
    <w:rPr>
      <w:b/>
      <w:bCs/>
      <w:sz w:val="24"/>
      <w:lang w:val="en-GB"/>
    </w:rPr>
  </w:style>
  <w:style w:type="paragraph" w:styleId="12">
    <w:name w:val="toc 3"/>
    <w:basedOn w:val="1"/>
    <w:next w:val="1"/>
    <w:qFormat/>
    <w:uiPriority w:val="0"/>
    <w:pPr>
      <w:ind w:left="840" w:leftChars="400"/>
    </w:pPr>
  </w:style>
  <w:style w:type="paragraph" w:styleId="13">
    <w:name w:val="Plain Text"/>
    <w:basedOn w:val="1"/>
    <w:unhideWhenUsed/>
    <w:qFormat/>
    <w:uiPriority w:val="99"/>
    <w:pPr>
      <w:spacing w:line="240" w:lineRule="atLeast"/>
    </w:pPr>
    <w:rPr>
      <w:rFonts w:ascii="Arial Unicode MS" w:hAnsi="Arial Unicode MS" w:eastAsia="宋体" w:cs="宋体"/>
      <w:sz w:val="28"/>
      <w:szCs w:val="2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8"/>
    <w:next w:val="1"/>
    <w:unhideWhenUsed/>
    <w:qFormat/>
    <w:uiPriority w:val="99"/>
    <w:pPr>
      <w:ind w:firstLine="420" w:firstLineChars="200"/>
    </w:p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Table Paragraph"/>
    <w:basedOn w:val="1"/>
    <w:qFormat/>
    <w:uiPriority w:val="0"/>
  </w:style>
  <w:style w:type="paragraph" w:styleId="22">
    <w:name w:val="List Paragraph"/>
    <w:basedOn w:val="1"/>
    <w:qFormat/>
    <w:uiPriority w:val="99"/>
    <w:pPr>
      <w:ind w:firstLine="420" w:firstLineChars="200"/>
    </w:pPr>
  </w:style>
  <w:style w:type="paragraph" w:customStyle="1" w:styleId="23">
    <w:name w:val="正文-ls"/>
    <w:basedOn w:val="1"/>
    <w:qFormat/>
    <w:uiPriority w:val="0"/>
    <w:pPr>
      <w:ind w:firstLine="200" w:firstLineChars="200"/>
    </w:pPr>
    <w:rPr>
      <w:rFonts w:hAnsi="宋体" w:cs="宋体"/>
      <w:szCs w:val="20"/>
    </w:rPr>
  </w:style>
  <w:style w:type="paragraph" w:customStyle="1" w:styleId="24">
    <w:name w:val="正文首行缩进 21"/>
    <w:basedOn w:val="8"/>
    <w:next w:val="1"/>
    <w:qFormat/>
    <w:uiPriority w:val="0"/>
    <w:pPr>
      <w:snapToGrid w:val="0"/>
      <w:spacing w:after="0"/>
      <w:ind w:left="0" w:leftChars="0" w:firstLine="420" w:firstLineChars="200"/>
    </w:pPr>
    <w:rPr>
      <w:rFonts w:ascii="宋体" w:hAnsi="宋体"/>
      <w:color w:val="FF0000"/>
      <w:szCs w:val="21"/>
    </w:rPr>
  </w:style>
  <w:style w:type="paragraph" w:customStyle="1" w:styleId="25">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2021-01-04T02:58:00Z</dcterms:created>
  <dc:creator>何家祥</dc:creator>
  <cp:lastModifiedBy>何家祥</cp:lastModifiedBy>
  <dcterms:modified xsi:type="dcterms:W3CDTF">2021-04-27T06:53:58Z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BF038AD8B8754D9D95FDD34A9959C03C</vt:lpwstr>
  </property>
</Properties>
</file>